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133013d6k.htm"/>
      <w:bookmarkStart w:id="1" w:name="ksd133013d6k"/>
      <w:bookmarkStart w:id="2" w:name="d133013d6k.htm"/>
      <w:bookmarkStart w:id="3" w:name="ksd133013d6k"/>
      <w:bookmarkEnd w:id="2"/>
      <w:bookmarkEnd w:id="3"/>
    </w:p>
    <w:tbl>
      <w:tblPr>
        <w:tblW w:w="3745" w:type="dxa"/>
        <w:jc w:val="right"/>
        <w:tblInd w:w="0" w:type="dxa"/>
        <w:tblLayout w:type="fixed"/>
        <w:tblCellMar>
          <w:top w:w="0" w:type="dxa"/>
          <w:left w:w="0" w:type="dxa"/>
          <w:bottom w:w="0" w:type="dxa"/>
          <w:right w:w="0" w:type="dxa"/>
        </w:tblCellMar>
      </w:tblPr>
      <w:tblGrid>
        <w:gridCol w:w="1790"/>
        <w:gridCol w:w="60"/>
        <w:gridCol w:w="1895"/>
      </w:tblGrid>
      <w:tr>
        <w:trPr/>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3745" w:type="dxa"/>
            <w:gridSpan w:val="3"/>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283"/>
              <w:jc w:val="center"/>
              <w:rPr/>
            </w:pPr>
            <w:r>
              <w:rPr/>
              <w:t>OMB APPROVAL</w:t>
            </w:r>
          </w:p>
        </w:tc>
      </w:tr>
      <w:tr>
        <w:trPr/>
        <w:tc>
          <w:tcPr>
            <w:tcW w:w="17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OMB Number: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right"/>
              <w:rPr/>
            </w:pPr>
            <w:r>
              <w:rPr/>
              <w:t>3235-0116</w:t>
            </w:r>
          </w:p>
        </w:tc>
      </w:tr>
      <w:tr>
        <w:trPr/>
        <w:tc>
          <w:tcPr>
            <w:tcW w:w="17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Expires: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right"/>
              <w:rPr/>
            </w:pPr>
            <w:r>
              <w:rPr/>
              <w:t>December 31, 2026</w:t>
            </w:r>
          </w:p>
        </w:tc>
      </w:tr>
      <w:tr>
        <w:trPr/>
        <w:tc>
          <w:tcPr>
            <w:tcW w:w="3745" w:type="dxa"/>
            <w:gridSpan w:val="3"/>
            <w:tcBorders>
              <w:left w:val="single" w:sz="2" w:space="0" w:color="000000"/>
              <w:right w:val="single" w:sz="2" w:space="0" w:color="000000"/>
            </w:tcBorders>
            <w:tcMar>
              <w:left w:w="160" w:type="dxa"/>
              <w:right w:w="40" w:type="dxa"/>
            </w:tcMar>
          </w:tcPr>
          <w:p>
            <w:pPr>
              <w:pStyle w:val="TableContents"/>
              <w:bidi w:val="0"/>
              <w:spacing w:before="0" w:after="283"/>
              <w:jc w:val="left"/>
              <w:rPr/>
            </w:pPr>
            <w:r>
              <w:rPr/>
              <w:t>Estimated average burden</w:t>
            </w:r>
          </w:p>
        </w:tc>
      </w:tr>
      <w:tr>
        <w:trPr/>
        <w:tc>
          <w:tcPr>
            <w:tcW w:w="17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hours per response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right"/>
              <w:rPr/>
            </w:pPr>
            <w:r>
              <w:rPr/>
              <w:t>8.7</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001-41670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Apollomics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989 E. Hillsdale Blvd., Suite 220, Foster City, California 94404 </w:t>
      </w:r>
    </w:p>
    <w:p>
      <w:pPr>
        <w:pStyle w:val="TextBody"/>
        <w:bidi w:val="0"/>
        <w:spacing w:before="0" w:after="0"/>
        <w:jc w:val="left"/>
        <w:rPr/>
      </w:pPr>
      <w:r>
        <w:rPr/>
        <w:drawing>
          <wp:inline distT="0" distB="0" distL="0" distR="0">
            <wp:extent cx="592455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1460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pPr>
      <w:r>
        <w:rPr/>
        <w:t>☒ </w:t>
      </w:r>
      <w:r>
        <w:rPr>
          <w:rFonts w:ascii="Times New Roman" w:hAnsi="Times New Roman"/>
          <w:sz w:val="20"/>
        </w:rPr>
        <w:t xml:space="preserve">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Entry into Material Definitive Agreements; Related Party Transactions; Unregistered Sale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On August 7, 2026, Apollomics Inc. (the “Company”) entered into Subscription Agreements (the “Subscription Agreements”) with certain accredited investors, including certain executive officers and directors of the Company (or their affiliates) (collectively, the “Investors”), for a private placement (the “Private Placement”) of an aggregate of up to 700,001 Class A Ordinary shares, par value $0.01 per share, of the Company (the “Class A Shares”). The Private Placement is expected to close on or about August 14,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comprises: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Subscriptions: Cash subscriptions for an aggregate of 533,334 Class A Shares at a purchase price of $15.00 per share, representing aggregate gross cash proceeds to the Company of $8,000,010.00;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Conversion: The automatic conversion of the outstanding $2,000,000.00 principal amount of that certain unsecured Convertible Promissory Note, dated March 30, 2026, held by Mr. Hung-Wen (Howard) Chen, the Company’s Chairman and Chief Executive Officer, into 166,667 Class A Shares at a conversion price of $12.00 per share (representing 80% of the cash subscription price). The issuance of the Convertible Promissory Note was previously reported on a Form 6-K filed with the SEC on April 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participating Investors include certain related parties of the Company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Hung-Wen (Howard) Chen (the Company’s Chairman and Chief Executive Officer) and/or his affiliates: subscribing for an aggregate of 370,000 Class A Shares (comprising 103,333 cash subscription Class A Shares and 166,667 Class A Shares issued upon the conversion of his Convertible Promissory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Peter Kuan-How Lin (the Company’s Chief Financial Officer): subscribing for 26,667 Class A Shares for a cash purchase price of $400,005.00.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Maxpro Investment Co., Ltd. (an affiliate of Mr. Yi-Kuei (Alex) Chen, the Company’s Chief Operating Officer and Director): subscribing for 20,000 Class A Shares for a cash purchase price of $300,000.00.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remaining 283,344 Class A Shares in the cash subscription tranche are being issued to certain unaffiliated accredited investors.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to be issued and sold under the Subscription Agreements will not be registered under the Securities Act of 1933, as amended (the “Securities Act”) in reliance on the exemption from registration provided by Section 4(a)(2) of the Securities Act and/or Rule 506 of Regulation D promulgated thereunder, or under any state securities laws. The Company relied on this exemption from registration based in part on representations made by the Investors. The securities may not be offered or sold in the United States absent registration or an applicable exemption from registration requirements. Neither this Report of Foreign Private Issuer on Form 6-K, nor the exhibits attached hereto, is an offer to sell or the solicitation of an offer to buy the securities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Because Mr. Howard Chen, Mr. Peter Lin, and Maxpro Investment Co., Ltd. are participating in the Private Placement, their respective subscriptions constitute related-party transactions under Nasdaq Rule 5630. The Audit Committee of the Board of Directors, consisting entirely of independent directors, reviewed and recommended these transactions, and the Board of Directors subsequently approved these transactions (with Mr. Howard Chen and Mr. Alex Chen abstaining from the voting on their respective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cash proceeds for clinical development, working capital, and general corporate purposes. No placement agents or underwriters were utilized in connection with the Private Placement, and no finder’s fees or commissions are payable.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Form 6-K is incorporated by reference into the Company’s registration statements under the Securities Act of 1933, as amended, including its registration statements on Form S-8 (File Nos. 333-272559 and 333-293148) and Form F-3 (File Nos. 333-278430, 333-278431, 333-279549, and 333-294154), and shall be a part thereof, to the extent not superseded by documents or reports subsequently filed or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1"/>
        <w:gridCol w:w="431"/>
        <w:gridCol w:w="9223"/>
      </w:tblGrid>
      <w:tr>
        <w:trPr/>
        <w:tc>
          <w:tcPr>
            <w:tcW w:w="551"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9223" w:type="dxa"/>
            <w:tcBorders/>
            <w:vAlign w:val="center"/>
          </w:tcPr>
          <w:p>
            <w:pPr>
              <w:pStyle w:val="TableContents"/>
              <w:bidi w:val="0"/>
              <w:spacing w:before="0" w:after="283"/>
              <w:jc w:val="left"/>
              <w:rPr>
                <w:sz w:val="4"/>
                <w:szCs w:val="4"/>
              </w:rPr>
            </w:pPr>
            <w:r>
              <w:rPr>
                <w:sz w:val="4"/>
                <w:szCs w:val="4"/>
              </w:rPr>
            </w:r>
          </w:p>
        </w:tc>
      </w:tr>
      <w:tr>
        <w:trPr/>
        <w:tc>
          <w:tcPr>
            <w:tcW w:w="55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31" w:type="dxa"/>
            <w:tcBorders/>
            <w:vAlign w:val="bottom"/>
          </w:tcPr>
          <w:p>
            <w:pPr>
              <w:pStyle w:val="TableContents"/>
              <w:bidi w:val="0"/>
              <w:spacing w:before="0" w:after="283"/>
              <w:jc w:val="left"/>
              <w:rPr/>
            </w:pPr>
            <w:r>
              <w:rPr/>
              <w:t>  </w:t>
            </w:r>
          </w:p>
        </w:tc>
        <w:tc>
          <w:tcPr>
            <w:tcW w:w="92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551" w:type="dxa"/>
            <w:tcBorders/>
            <w:vAlign w:val="center"/>
          </w:tcPr>
          <w:p>
            <w:pPr>
              <w:pStyle w:val="TableContents"/>
              <w:bidi w:val="0"/>
              <w:spacing w:before="0" w:after="283"/>
              <w:jc w:val="left"/>
              <w:rPr>
                <w:sz w:val="4"/>
                <w:szCs w:val="4"/>
              </w:rPr>
            </w:pPr>
            <w:r>
              <w:rPr>
                <w:sz w:val="4"/>
                <w:szCs w:val="4"/>
              </w:rPr>
            </w:r>
          </w:p>
        </w:tc>
        <w:tc>
          <w:tcPr>
            <w:tcW w:w="9654" w:type="dxa"/>
            <w:gridSpan w:val="2"/>
            <w:tcBorders/>
            <w:vAlign w:val="center"/>
          </w:tcPr>
          <w:p>
            <w:pPr>
              <w:pStyle w:val="TableContents"/>
              <w:bidi w:val="0"/>
              <w:spacing w:before="0" w:after="283"/>
              <w:jc w:val="left"/>
              <w:rPr>
                <w:sz w:val="4"/>
                <w:szCs w:val="4"/>
              </w:rPr>
            </w:pPr>
            <w:r>
              <w:rPr>
                <w:sz w:val="4"/>
                <w:szCs w:val="4"/>
              </w:rPr>
            </w:r>
          </w:p>
        </w:tc>
      </w:tr>
      <w:tr>
        <w:trPr/>
        <w:tc>
          <w:tcPr>
            <w:tcW w:w="551" w:type="dxa"/>
            <w:tcBorders/>
          </w:tcPr>
          <w:p>
            <w:pPr>
              <w:pStyle w:val="TableContents"/>
              <w:bidi w:val="0"/>
              <w:spacing w:before="0" w:after="283"/>
              <w:jc w:val="left"/>
              <w:rPr>
                <w:b/>
              </w:rPr>
            </w:pPr>
            <w:r>
              <w:rPr>
                <w:b/>
              </w:rPr>
              <w:t>10.1</w:t>
            </w:r>
          </w:p>
        </w:tc>
        <w:tc>
          <w:tcPr>
            <w:tcW w:w="431" w:type="dxa"/>
            <w:tcBorders/>
            <w:vAlign w:val="bottom"/>
          </w:tcPr>
          <w:p>
            <w:pPr>
              <w:pStyle w:val="TableContents"/>
              <w:bidi w:val="0"/>
              <w:spacing w:before="0" w:after="283"/>
              <w:jc w:val="left"/>
              <w:rPr/>
            </w:pPr>
            <w:r>
              <w:rPr/>
              <w:t>  </w:t>
            </w:r>
          </w:p>
        </w:tc>
        <w:tc>
          <w:tcPr>
            <w:tcW w:w="9223" w:type="dxa"/>
            <w:tcBorders/>
          </w:tcPr>
          <w:p>
            <w:pPr>
              <w:pStyle w:val="TableContents"/>
              <w:bidi w:val="0"/>
              <w:spacing w:before="0" w:after="283"/>
              <w:jc w:val="left"/>
              <w:rPr/>
            </w:pPr>
            <w:hyperlink w:anchor="d133013dex101.htm">
              <w:r>
                <w:rPr>
                  <w:rStyle w:val="InternetLink"/>
                </w:rPr>
                <w:t xml:space="preserve">Form of Subscription Agreement </w:t>
              </w:r>
            </w:hyperlink>
          </w:p>
        </w:tc>
      </w:tr>
      <w:tr>
        <w:trPr>
          <w:trHeight w:val="120" w:hRule="atLeast"/>
        </w:trPr>
        <w:tc>
          <w:tcPr>
            <w:tcW w:w="551" w:type="dxa"/>
            <w:tcBorders/>
            <w:vAlign w:val="center"/>
          </w:tcPr>
          <w:p>
            <w:pPr>
              <w:pStyle w:val="TableContents"/>
              <w:bidi w:val="0"/>
              <w:spacing w:before="0" w:after="283"/>
              <w:jc w:val="left"/>
              <w:rPr>
                <w:sz w:val="4"/>
                <w:szCs w:val="4"/>
              </w:rPr>
            </w:pPr>
            <w:r>
              <w:rPr>
                <w:sz w:val="4"/>
                <w:szCs w:val="4"/>
              </w:rPr>
            </w:r>
          </w:p>
        </w:tc>
        <w:tc>
          <w:tcPr>
            <w:tcW w:w="9654" w:type="dxa"/>
            <w:gridSpan w:val="2"/>
            <w:tcBorders/>
            <w:vAlign w:val="center"/>
          </w:tcPr>
          <w:p>
            <w:pPr>
              <w:pStyle w:val="TableContents"/>
              <w:bidi w:val="0"/>
              <w:spacing w:before="0" w:after="283"/>
              <w:jc w:val="left"/>
              <w:rPr>
                <w:sz w:val="4"/>
                <w:szCs w:val="4"/>
              </w:rPr>
            </w:pPr>
            <w:r>
              <w:rPr>
                <w:sz w:val="4"/>
                <w:szCs w:val="4"/>
              </w:rPr>
            </w:r>
          </w:p>
        </w:tc>
      </w:tr>
      <w:tr>
        <w:trPr/>
        <w:tc>
          <w:tcPr>
            <w:tcW w:w="551" w:type="dxa"/>
            <w:tcBorders/>
          </w:tcPr>
          <w:p>
            <w:pPr>
              <w:pStyle w:val="TableContents"/>
              <w:bidi w:val="0"/>
              <w:spacing w:before="0" w:after="283"/>
              <w:jc w:val="left"/>
              <w:rPr>
                <w:b/>
              </w:rPr>
            </w:pPr>
            <w:r>
              <w:rPr>
                <w:b/>
              </w:rPr>
              <w:t>99.1</w:t>
            </w:r>
          </w:p>
        </w:tc>
        <w:tc>
          <w:tcPr>
            <w:tcW w:w="431" w:type="dxa"/>
            <w:tcBorders/>
            <w:vAlign w:val="bottom"/>
          </w:tcPr>
          <w:p>
            <w:pPr>
              <w:pStyle w:val="TableContents"/>
              <w:bidi w:val="0"/>
              <w:spacing w:before="0" w:after="283"/>
              <w:jc w:val="left"/>
              <w:rPr/>
            </w:pPr>
            <w:r>
              <w:rPr/>
              <w:t>  </w:t>
            </w:r>
          </w:p>
        </w:tc>
        <w:tc>
          <w:tcPr>
            <w:tcW w:w="9223" w:type="dxa"/>
            <w:tcBorders/>
          </w:tcPr>
          <w:p>
            <w:pPr>
              <w:pStyle w:val="TableContents"/>
              <w:bidi w:val="0"/>
              <w:spacing w:before="0" w:after="283"/>
              <w:jc w:val="left"/>
              <w:rPr/>
            </w:pPr>
            <w:hyperlink w:anchor="d133013dex991.htm">
              <w:r>
                <w:rPr>
                  <w:rStyle w:val="InternetLink"/>
                </w:rPr>
                <w:t xml:space="preserve">Press Release, dated August 11,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49"/>
        <w:gridCol w:w="92"/>
        <w:gridCol w:w="245"/>
        <w:gridCol w:w="60"/>
        <w:gridCol w:w="23"/>
        <w:gridCol w:w="92"/>
        <w:gridCol w:w="6344"/>
      </w:tblGrid>
      <w:tr>
        <w:trPr/>
        <w:tc>
          <w:tcPr>
            <w:tcW w:w="3349"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344" w:type="dxa"/>
            <w:tcBorders/>
            <w:vAlign w:val="center"/>
          </w:tcPr>
          <w:p>
            <w:pPr>
              <w:pStyle w:val="TableContents"/>
              <w:bidi w:val="0"/>
              <w:spacing w:before="0" w:after="283"/>
              <w:jc w:val="left"/>
              <w:rPr>
                <w:sz w:val="4"/>
                <w:szCs w:val="4"/>
              </w:rPr>
            </w:pPr>
            <w:r>
              <w:rPr>
                <w:sz w:val="4"/>
                <w:szCs w:val="4"/>
              </w:rPr>
            </w:r>
          </w:p>
        </w:tc>
      </w:tr>
      <w:tr>
        <w:trPr/>
        <w:tc>
          <w:tcPr>
            <w:tcW w:w="334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344" w:type="dxa"/>
            <w:tcBorders/>
            <w:vAlign w:val="bottom"/>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APOLLOMICS INC.</w:t>
            </w:r>
          </w:p>
        </w:tc>
      </w:tr>
      <w:tr>
        <w:trPr/>
        <w:tc>
          <w:tcPr>
            <w:tcW w:w="334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344" w:type="dxa"/>
            <w:tcBorders/>
            <w:vAlign w:val="bottom"/>
          </w:tcPr>
          <w:p>
            <w:pPr>
              <w:pStyle w:val="TableContents"/>
              <w:bidi w:val="0"/>
              <w:spacing w:before="0" w:after="283"/>
              <w:jc w:val="center"/>
              <w:rPr/>
            </w:pPr>
            <w:r>
              <w:rPr/>
              <w:t>(Registrant)</w:t>
            </w:r>
          </w:p>
        </w:tc>
      </w:tr>
      <w:tr>
        <w:trPr/>
        <w:tc>
          <w:tcPr>
            <w:tcW w:w="3349" w:type="dxa"/>
            <w:tcBorders/>
          </w:tcPr>
          <w:p>
            <w:pPr>
              <w:pStyle w:val="TableContents"/>
              <w:bidi w:val="0"/>
              <w:spacing w:before="0" w:after="283"/>
              <w:jc w:val="left"/>
              <w:rPr/>
            </w:pPr>
            <w:r>
              <w:rPr/>
              <w:t>Date August 11, 2026</w:t>
            </w:r>
          </w:p>
        </w:tc>
        <w:tc>
          <w:tcPr>
            <w:tcW w:w="92"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344" w:type="dxa"/>
            <w:tcBorders/>
            <w:vAlign w:val="bottom"/>
          </w:tcPr>
          <w:p>
            <w:pPr>
              <w:pStyle w:val="TableContents"/>
              <w:bidi w:val="0"/>
              <w:spacing w:before="0" w:after="283"/>
              <w:jc w:val="left"/>
              <w:rPr>
                <w:sz w:val="4"/>
                <w:szCs w:val="4"/>
              </w:rPr>
            </w:pPr>
            <w:r>
              <w:rPr>
                <w:sz w:val="4"/>
                <w:szCs w:val="4"/>
              </w:rPr>
            </w:r>
          </w:p>
        </w:tc>
      </w:tr>
      <w:tr>
        <w:trPr/>
        <w:tc>
          <w:tcPr>
            <w:tcW w:w="334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344" w:type="dxa"/>
            <w:tcBorders/>
            <w:vAlign w:val="bottom"/>
          </w:tcPr>
          <w:p>
            <w:pPr>
              <w:pStyle w:val="TableContents"/>
              <w:bidi w:val="0"/>
              <w:spacing w:before="0" w:after="283"/>
              <w:jc w:val="center"/>
              <w:rPr/>
            </w:pPr>
            <w:r>
              <w:rPr/>
              <w:t>(Signature)*</w:t>
            </w:r>
          </w:p>
        </w:tc>
      </w:tr>
      <w:tr>
        <w:trPr>
          <w:trHeight w:val="240" w:hRule="atLeast"/>
        </w:trPr>
        <w:tc>
          <w:tcPr>
            <w:tcW w:w="3349" w:type="dxa"/>
            <w:tcBorders/>
            <w:vAlign w:val="center"/>
          </w:tcPr>
          <w:p>
            <w:pPr>
              <w:pStyle w:val="TableContents"/>
              <w:bidi w:val="0"/>
              <w:spacing w:before="0" w:after="283"/>
              <w:jc w:val="left"/>
              <w:rPr>
                <w:sz w:val="4"/>
                <w:szCs w:val="4"/>
              </w:rPr>
            </w:pPr>
            <w:r>
              <w:rPr>
                <w:sz w:val="4"/>
                <w:szCs w:val="4"/>
              </w:rPr>
            </w:r>
          </w:p>
        </w:tc>
        <w:tc>
          <w:tcPr>
            <w:tcW w:w="33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436" w:type="dxa"/>
            <w:gridSpan w:val="2"/>
            <w:tcBorders/>
            <w:vAlign w:val="center"/>
          </w:tcPr>
          <w:p>
            <w:pPr>
              <w:pStyle w:val="TableContents"/>
              <w:bidi w:val="0"/>
              <w:spacing w:before="0" w:after="283"/>
              <w:jc w:val="left"/>
              <w:rPr>
                <w:sz w:val="4"/>
                <w:szCs w:val="4"/>
              </w:rPr>
            </w:pPr>
            <w:r>
              <w:rPr>
                <w:sz w:val="4"/>
                <w:szCs w:val="4"/>
              </w:rPr>
            </w:r>
          </w:p>
        </w:tc>
      </w:tr>
      <w:tr>
        <w:trPr/>
        <w:tc>
          <w:tcPr>
            <w:tcW w:w="334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34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Lin, Chief Financial Officer</w:t>
            </w:r>
          </w:p>
        </w:tc>
      </w:tr>
      <w:tr>
        <w:trPr/>
        <w:tc>
          <w:tcPr>
            <w:tcW w:w="3349"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2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344" w:type="dxa"/>
            <w:tcBorders/>
            <w:vAlign w:val="bottom"/>
          </w:tcPr>
          <w:p>
            <w:pPr>
              <w:pStyle w:val="TableContents"/>
              <w:bidi w:val="0"/>
              <w:spacing w:before="0" w:after="283"/>
              <w:jc w:val="left"/>
              <w:rPr/>
            </w:pPr>
            <w:r>
              <w:rPr/>
              <w:t>* Print the name and title under the signature of the signing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9"/>
        <w:gridCol w:w="121"/>
        <w:gridCol w:w="8425"/>
      </w:tblGrid>
      <w:tr>
        <w:trPr/>
        <w:tc>
          <w:tcPr>
            <w:tcW w:w="16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425" w:type="dxa"/>
            <w:tcBorders/>
            <w:vAlign w:val="center"/>
          </w:tcPr>
          <w:p>
            <w:pPr>
              <w:pStyle w:val="TableContents"/>
              <w:bidi w:val="0"/>
              <w:spacing w:before="0" w:after="283"/>
              <w:jc w:val="left"/>
              <w:rPr>
                <w:sz w:val="4"/>
                <w:szCs w:val="4"/>
              </w:rPr>
            </w:pPr>
            <w:r>
              <w:rPr>
                <w:sz w:val="4"/>
                <w:szCs w:val="4"/>
              </w:rPr>
            </w:r>
          </w:p>
        </w:tc>
      </w:tr>
      <w:tr>
        <w:trPr/>
        <w:tc>
          <w:tcPr>
            <w:tcW w:w="1659" w:type="dxa"/>
            <w:tcBorders/>
          </w:tcPr>
          <w:p>
            <w:pPr>
              <w:pStyle w:val="TableContents"/>
              <w:bidi w:val="0"/>
              <w:spacing w:before="0" w:after="283"/>
              <w:jc w:val="left"/>
              <w:rPr/>
            </w:pPr>
            <w:r>
              <w:rPr/>
              <w:t>SEC 1815 (07-22)</w:t>
            </w:r>
          </w:p>
        </w:tc>
        <w:tc>
          <w:tcPr>
            <w:tcW w:w="121" w:type="dxa"/>
            <w:tcBorders/>
            <w:vAlign w:val="bottom"/>
          </w:tcPr>
          <w:p>
            <w:pPr>
              <w:pStyle w:val="TableContents"/>
              <w:bidi w:val="0"/>
              <w:spacing w:before="0" w:after="283"/>
              <w:jc w:val="left"/>
              <w:rPr/>
            </w:pPr>
            <w:r>
              <w:rPr/>
              <w:t>  </w:t>
            </w:r>
          </w:p>
        </w:tc>
        <w:tc>
          <w:tcPr>
            <w:tcW w:w="8425" w:type="dxa"/>
            <w:tcBorders/>
          </w:tcPr>
          <w:p>
            <w:pPr>
              <w:pStyle w:val="TableContents"/>
              <w:bidi w:val="0"/>
              <w:spacing w:before="0" w:after="283"/>
              <w:jc w:val="left"/>
              <w:rPr/>
            </w:pPr>
            <w:r>
              <w:rPr/>
              <w:t>Potential persons who are to respond to the collection of information contained in this Form are not required to respond unless the Form displays a currently valid OMB control number.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of 4 </w:t>
      </w:r>
    </w:p>
    <w:p>
      <w:pPr>
        <w:pStyle w:val="TextBody"/>
        <w:bidi w:val="0"/>
        <w:spacing w:before="0" w:after="0"/>
        <w:jc w:val="right"/>
        <w:rPr>
          <w:rFonts w:ascii="Times New Roman" w:hAnsi="Times New Roman"/>
          <w:b/>
          <w:sz w:val="20"/>
        </w:rPr>
      </w:pPr>
      <w:bookmarkStart w:id="4" w:name="d133013dex101.htm"/>
      <w:bookmarkStart w:id="5" w:name="ksd133013dex101"/>
      <w:bookmarkEnd w:id="4"/>
      <w:bookmarkEnd w:id="5"/>
      <w:r>
        <w:rPr>
          <w:rFonts w:ascii="Times New Roman" w:hAnsi="Times New Roman"/>
          <w:b/>
          <w:sz w:val="20"/>
        </w:rPr>
        <w:t xml:space="preserve">Exhibit 10.1 </w:t>
      </w:r>
      <w:r>
        <w:br w:type="page"/>
      </w:r>
    </w:p>
    <w:p>
      <w:pPr>
        <w:pStyle w:val="TextBody"/>
        <w:bidi w:val="0"/>
        <w:spacing w:before="360" w:after="0"/>
        <w:jc w:val="left"/>
        <w:rPr>
          <w:rFonts w:ascii="Times New Roman" w:hAnsi="Times New Roman"/>
          <w:b/>
          <w:sz w:val="20"/>
        </w:rPr>
      </w:pPr>
      <w:r>
        <w:rPr>
          <w:rFonts w:ascii="Times New Roman" w:hAnsi="Times New Roman"/>
          <w:b/>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Apollomics Inc. </w:t>
      </w:r>
    </w:p>
    <w:p>
      <w:pPr>
        <w:pStyle w:val="TextBody"/>
        <w:bidi w:val="0"/>
        <w:spacing w:before="0" w:after="0"/>
        <w:jc w:val="left"/>
        <w:rPr>
          <w:rFonts w:ascii="Times New Roman" w:hAnsi="Times New Roman"/>
          <w:sz w:val="20"/>
        </w:rPr>
      </w:pPr>
      <w:r>
        <w:rPr>
          <w:rFonts w:ascii="Times New Roman" w:hAnsi="Times New Roman"/>
          <w:sz w:val="20"/>
        </w:rPr>
        <w:t xml:space="preserve">989 E. Hillsdale Blvd., Suite 220 </w:t>
      </w:r>
    </w:p>
    <w:p>
      <w:pPr>
        <w:pStyle w:val="TextBody"/>
        <w:bidi w:val="0"/>
        <w:spacing w:before="0" w:after="0"/>
        <w:jc w:val="left"/>
        <w:rPr>
          <w:rFonts w:ascii="Times New Roman" w:hAnsi="Times New Roman"/>
          <w:sz w:val="20"/>
        </w:rPr>
      </w:pPr>
      <w:r>
        <w:rPr>
          <w:rFonts w:ascii="Times New Roman" w:hAnsi="Times New Roman"/>
          <w:sz w:val="20"/>
        </w:rPr>
        <w:t xml:space="preserve">Foster City, CA 94404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This Subscription Agreement (this “</w:t>
      </w:r>
      <w:r>
        <w:rPr>
          <w:rFonts w:ascii="Times New Roman" w:hAnsi="Times New Roman"/>
          <w:b/>
          <w:sz w:val="20"/>
          <w:u w:val="single"/>
        </w:rPr>
        <w:t>Subscription Agreement</w:t>
      </w:r>
      <w:r>
        <w:rPr>
          <w:rFonts w:ascii="Times New Roman" w:hAnsi="Times New Roman"/>
          <w:sz w:val="20"/>
        </w:rPr>
        <w:t>”) is being entered into as of August ____, 2026, by and between Apollomics Inc., a Cayman Islands exempted company (“</w:t>
      </w:r>
      <w:r>
        <w:rPr>
          <w:rFonts w:ascii="Times New Roman" w:hAnsi="Times New Roman"/>
          <w:b/>
          <w:sz w:val="20"/>
          <w:u w:val="single"/>
        </w:rPr>
        <w:t>Apollomics</w:t>
      </w:r>
      <w:r>
        <w:rPr>
          <w:rFonts w:ascii="Times New Roman" w:hAnsi="Times New Roman"/>
          <w:sz w:val="20"/>
        </w:rPr>
        <w:t>”), and the undersigned subscriber (“</w:t>
      </w:r>
      <w:r>
        <w:rPr>
          <w:rFonts w:ascii="Times New Roman" w:hAnsi="Times New Roman"/>
          <w:b/>
          <w:sz w:val="20"/>
          <w:u w:val="single"/>
        </w:rPr>
        <w:t>Subscriber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Subscriber desires to subscribe for and purchase from Apollomics, that number of Class A ordinary shares, par value $0.01 per share (“</w:t>
      </w:r>
      <w:r>
        <w:rPr>
          <w:rFonts w:ascii="Times New Roman" w:hAnsi="Times New Roman"/>
          <w:b/>
          <w:sz w:val="20"/>
          <w:u w:val="single"/>
        </w:rPr>
        <w:t>Ordinary Shares</w:t>
      </w:r>
      <w:r>
        <w:rPr>
          <w:rFonts w:ascii="Times New Roman" w:hAnsi="Times New Roman"/>
          <w:sz w:val="20"/>
        </w:rPr>
        <w:t>”), set forth on the signature page hereto (the “</w:t>
      </w:r>
      <w:r>
        <w:rPr>
          <w:rFonts w:ascii="Times New Roman" w:hAnsi="Times New Roman"/>
          <w:b/>
          <w:sz w:val="20"/>
          <w:u w:val="single"/>
        </w:rPr>
        <w:t>Subscribed Shares</w:t>
      </w:r>
      <w:r>
        <w:rPr>
          <w:rFonts w:ascii="Times New Roman" w:hAnsi="Times New Roman"/>
          <w:sz w:val="20"/>
        </w:rPr>
        <w:t>”) for a purchase price of $ 15 per share (the “</w:t>
      </w:r>
      <w:r>
        <w:rPr>
          <w:rFonts w:ascii="Times New Roman" w:hAnsi="Times New Roman"/>
          <w:b/>
          <w:sz w:val="20"/>
          <w:u w:val="single"/>
        </w:rPr>
        <w:t>Per Share Price</w:t>
      </w:r>
      <w:r>
        <w:rPr>
          <w:rFonts w:ascii="Times New Roman" w:hAnsi="Times New Roman"/>
          <w:sz w:val="20"/>
        </w:rPr>
        <w:t>” and the aggregate of such Per Share Price for all Subscribed Shares being referred to herein as the “</w:t>
      </w:r>
      <w:r>
        <w:rPr>
          <w:rFonts w:ascii="Times New Roman" w:hAnsi="Times New Roman"/>
          <w:b/>
          <w:sz w:val="20"/>
          <w:u w:val="single"/>
        </w:rPr>
        <w:t>Purchase Price</w:t>
      </w:r>
      <w:r>
        <w:rPr>
          <w:rFonts w:ascii="Times New Roman" w:hAnsi="Times New Roman"/>
          <w:sz w:val="20"/>
        </w:rPr>
        <w:t>”); and at the closing of the sale of the Ordinary Shares contemplated hereby (the “</w:t>
      </w:r>
      <w:r>
        <w:rPr>
          <w:rFonts w:ascii="Times New Roman" w:hAnsi="Times New Roman"/>
          <w:b/>
          <w:sz w:val="20"/>
          <w:u w:val="single"/>
        </w:rPr>
        <w:t>Closing</w:t>
      </w:r>
      <w:r>
        <w:rPr>
          <w:rFonts w:ascii="Times New Roman" w:hAnsi="Times New Roman"/>
          <w:sz w:val="20"/>
        </w:rPr>
        <w:t xml:space="preserve">”), Apollomics desires to issue and sell to Subscriber the Subscribed Shares in consideration of the payment of the Purchase Price by or on behalf of Subscriber to Apollomics, all on the terms and subject to the conditions set forth herein;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or prior to the Closing, Apollomics is entering into subscription agreements (the “</w:t>
      </w:r>
      <w:r>
        <w:rPr>
          <w:rFonts w:ascii="Times New Roman" w:hAnsi="Times New Roman"/>
          <w:b/>
          <w:sz w:val="20"/>
          <w:u w:val="single"/>
        </w:rPr>
        <w:t>Other Subscription Agreements</w:t>
      </w:r>
      <w:r>
        <w:rPr>
          <w:rFonts w:ascii="Times New Roman" w:hAnsi="Times New Roman"/>
          <w:sz w:val="20"/>
        </w:rPr>
        <w:t>” and together with this Subscription Agreement, the “</w:t>
      </w:r>
      <w:r>
        <w:rPr>
          <w:rFonts w:ascii="Times New Roman" w:hAnsi="Times New Roman"/>
          <w:b/>
          <w:sz w:val="20"/>
          <w:u w:val="single"/>
        </w:rPr>
        <w:t>Subscription Agreements</w:t>
      </w:r>
      <w:r>
        <w:rPr>
          <w:rFonts w:ascii="Times New Roman" w:hAnsi="Times New Roman"/>
          <w:sz w:val="20"/>
        </w:rPr>
        <w:t>”) with certain other investors (the “</w:t>
      </w:r>
      <w:r>
        <w:rPr>
          <w:rFonts w:ascii="Times New Roman" w:hAnsi="Times New Roman"/>
          <w:b/>
          <w:sz w:val="20"/>
          <w:u w:val="single"/>
        </w:rPr>
        <w:t>Other</w:t>
      </w:r>
      <w:r>
        <w:rPr>
          <w:rFonts w:ascii="Times New Roman" w:hAnsi="Times New Roman"/>
          <w:sz w:val="20"/>
        </w:rPr>
        <w:t xml:space="preserve"> </w:t>
      </w:r>
      <w:r>
        <w:rPr>
          <w:rFonts w:ascii="Times New Roman" w:hAnsi="Times New Roman"/>
          <w:b/>
          <w:sz w:val="20"/>
          <w:u w:val="single"/>
        </w:rPr>
        <w:t>Subscribers</w:t>
      </w:r>
      <w:r>
        <w:rPr>
          <w:rFonts w:ascii="Times New Roman" w:hAnsi="Times New Roman"/>
          <w:sz w:val="20"/>
        </w:rPr>
        <w:t>” and together with Subscriber, the “</w:t>
      </w:r>
      <w:r>
        <w:rPr>
          <w:rFonts w:ascii="Times New Roman" w:hAnsi="Times New Roman"/>
          <w:b/>
          <w:sz w:val="20"/>
          <w:u w:val="single"/>
        </w:rPr>
        <w:t>Subscribers</w:t>
      </w:r>
      <w:r>
        <w:rPr>
          <w:rFonts w:ascii="Times New Roman" w:hAnsi="Times New Roman"/>
          <w:sz w:val="20"/>
        </w:rPr>
        <w:t>”), pursuant to which such Other Subscribers have agreed to subscribe for and purchase from Apollomics, and Apollomics desires to issue and sell to the Other Subscribers at the Closing, Ordinary Shares at the Per Share Price (the shares of the Other Subscribers, the “</w:t>
      </w:r>
      <w:r>
        <w:rPr>
          <w:rFonts w:ascii="Times New Roman" w:hAnsi="Times New Roman"/>
          <w:b/>
          <w:sz w:val="20"/>
          <w:u w:val="single"/>
        </w:rPr>
        <w:t>Other Subscribed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foregoing and the mutual representations, warranties and covenants, and subject to the conditions, herein contained, and intending to be legally bound hereby,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Subscription</w:t>
      </w:r>
      <w:r>
        <w:rPr>
          <w:rFonts w:ascii="Times New Roman" w:hAnsi="Times New Roman"/>
          <w:i/>
          <w:sz w:val="20"/>
        </w:rPr>
        <w:t xml:space="preserve">. </w:t>
      </w:r>
      <w:r>
        <w:rPr>
          <w:rFonts w:ascii="Times New Roman" w:hAnsi="Times New Roman"/>
          <w:sz w:val="20"/>
        </w:rPr>
        <w:t>Subject to the terms and conditions hereof, Subscriber hereby irrevocably subscribes for and agrees to purchase, and Apollomics hereby agrees to issue and sell to Subscriber upon the payment of the Purchase Price, in each case, at the Closing, the Subscribed Shares (such subscription and issuance, the “</w:t>
      </w:r>
      <w:r>
        <w:rPr>
          <w:rFonts w:ascii="Times New Roman" w:hAnsi="Times New Roman"/>
          <w:b/>
          <w:sz w:val="20"/>
          <w:u w:val="single"/>
        </w:rPr>
        <w:t>Subscription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Closing; Delivery of Shares;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Closing shall occur on August 14, 2026 following the signing of this Subscription Agreement, or at such other time as may be agreed to by Apollomics and a majority of the Subscribers in writing (the “</w:t>
      </w:r>
      <w:r>
        <w:rPr>
          <w:rFonts w:ascii="Times New Roman" w:hAnsi="Times New Roman"/>
          <w:b/>
          <w:sz w:val="20"/>
          <w:u w:val="single"/>
        </w:rPr>
        <w:t>Subscription Closing Date</w:t>
      </w:r>
      <w:r>
        <w:rPr>
          <w:rFonts w:ascii="Times New Roman" w:hAnsi="Times New Roman"/>
          <w:sz w:val="20"/>
        </w:rPr>
        <w:t>”). For the purposes of this Subscription Agreement, “</w:t>
      </w:r>
      <w:r>
        <w:rPr>
          <w:rFonts w:ascii="Times New Roman" w:hAnsi="Times New Roman"/>
          <w:b/>
          <w:sz w:val="20"/>
          <w:u w:val="single"/>
        </w:rPr>
        <w:t>Business Day</w:t>
      </w:r>
      <w:r>
        <w:rPr>
          <w:rFonts w:ascii="Times New Roman" w:hAnsi="Times New Roman"/>
          <w:sz w:val="20"/>
        </w:rPr>
        <w:t>” means a day other than a Saturday, Sunday or other day on which commercial banks in New York, New York or governmental authorities in the Cayman Islands are authorized or required by Law (as defined below) to close. For the purposes of this Subscription Agreement, “</w:t>
      </w:r>
      <w:r>
        <w:rPr>
          <w:rFonts w:ascii="Times New Roman" w:hAnsi="Times New Roman"/>
          <w:b/>
          <w:sz w:val="20"/>
          <w:u w:val="single"/>
        </w:rPr>
        <w:t>Law</w:t>
      </w:r>
      <w:r>
        <w:rPr>
          <w:rFonts w:ascii="Times New Roman" w:hAnsi="Times New Roman"/>
          <w:sz w:val="20"/>
        </w:rPr>
        <w:t xml:space="preserve">” means any federal, state, local, municipal, foreign or other law, statute, legislation, ordinance, code, edict, decree, proclamation, treaty, convention, rule, regulation, writ, injunction, order or consent that is or has been issued, enacted, adopted, passed, approved, promulgated, made, implemented or otherwise put into effect by or under the authority of any Governmental Authority (as defined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the date of the signing of this Subscription Agreement, Subscriber shall execute and deliver the questionnaire on </w:t>
      </w:r>
      <w:r>
        <w:rPr>
          <w:rFonts w:ascii="Times New Roman" w:hAnsi="Times New Roman"/>
          <w:sz w:val="20"/>
          <w:u w:val="single"/>
        </w:rPr>
        <w:t>Annex A</w:t>
      </w:r>
      <w:r>
        <w:rPr>
          <w:rFonts w:ascii="Times New Roman" w:hAnsi="Times New Roman"/>
          <w:sz w:val="20"/>
        </w:rPr>
        <w:t xml:space="preserve"> following the signature page hereto. </w:t>
      </w:r>
    </w:p>
    <w:p>
      <w:pPr>
        <w:pStyle w:val="TextBody"/>
        <w:bidi w:val="0"/>
        <w:spacing w:before="240" w:after="0"/>
        <w:jc w:val="left"/>
        <w:rPr>
          <w:rFonts w:ascii="Times New Roman" w:hAnsi="Times New Roman"/>
          <w:sz w:val="20"/>
        </w:rPr>
      </w:pPr>
      <w:r>
        <w:rPr>
          <w:rFonts w:ascii="Times New Roman" w:hAnsi="Times New Roman"/>
          <w:sz w:val="20"/>
        </w:rPr>
        <w:t xml:space="preserve">(c) Except where otherwise agreed to in writing between Subscriber and Apollomics, on the Subscription Closing Date, prior to 10:00 a.m. (Eastern Time), Subscriber shall deliver the Purchase Price for the Subscribed Shares by wire transfer of United States dollars in immediately available funds to the account specified by Apollomics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Upon satisfaction (or, if applicable, waiver) of the conditions set forth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2(e)</w:t>
      </w:r>
      <w:r>
        <w:rPr>
          <w:rFonts w:ascii="Times New Roman" w:hAnsi="Times New Roman"/>
          <w:sz w:val="20"/>
        </w:rPr>
        <w:t xml:space="preserve">, </w:t>
      </w:r>
      <w:r>
        <w:rPr>
          <w:rFonts w:ascii="Times New Roman" w:hAnsi="Times New Roman"/>
          <w:sz w:val="20"/>
          <w:u w:val="single"/>
        </w:rPr>
        <w:t>2(f)</w:t>
      </w:r>
      <w:r>
        <w:rPr>
          <w:rFonts w:ascii="Times New Roman" w:hAnsi="Times New Roman"/>
          <w:sz w:val="20"/>
        </w:rPr>
        <w:t xml:space="preserve"> and </w:t>
      </w:r>
      <w:r>
        <w:rPr>
          <w:rFonts w:ascii="Times New Roman" w:hAnsi="Times New Roman"/>
          <w:sz w:val="20"/>
          <w:u w:val="single"/>
        </w:rPr>
        <w:t>2(g)</w:t>
      </w:r>
      <w:r>
        <w:rPr>
          <w:rFonts w:ascii="Times New Roman" w:hAnsi="Times New Roman"/>
          <w:sz w:val="20"/>
        </w:rPr>
        <w:t xml:space="preserve">, Apollomics shall deliver to Subscriber (i) at the Closing, the Subscribed Shares in book entry form, free and clear of any liens or other restrictions (other than those arising under this Subscription Agreement or applicable securities Laws), in the name of Subscriber (or its nominee identified to Apollomics in writing no less than one Business Day prior to the Closing), and (ii) as promptly as practicable after the Closing, evidence from Apollomics’ transfer agent of the issuance to Subscriber of the Subscribed Shares (in book entry form and containing customary restrictive legends) on and as of the Subscription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The closing of the transactions contemplated herein shall be subject to the satisfaction, or valid waiver by each of the parties hereto, of the conditions that, on the Subscription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suspension of the qualification of the Subscribed Shares for offering or sale or trading in any jurisdiction, or initiation or threatening of any proceedings for any of such purposes, shall have occurred;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no Governmental Authority shall have issued, enforced or entered any judgment or order, which is then in effect and has the effect of making the consummation of the transactions contemplated hereby illegal or otherwise restraining or prohibiting consummation of the transactions contemplated hereby. For purposes of this Subscription Agreement, “</w:t>
            </w:r>
            <w:r>
              <w:rPr>
                <w:rFonts w:ascii="Times New Roman" w:hAnsi="Times New Roman"/>
                <w:b/>
                <w:sz w:val="20"/>
                <w:u w:val="single"/>
              </w:rPr>
              <w:t>Governmental</w:t>
            </w:r>
            <w:r>
              <w:rPr>
                <w:rFonts w:ascii="Times New Roman" w:hAnsi="Times New Roman"/>
                <w:sz w:val="20"/>
              </w:rPr>
              <w:t xml:space="preserve"> </w:t>
            </w:r>
            <w:r>
              <w:rPr>
                <w:rFonts w:ascii="Times New Roman" w:hAnsi="Times New Roman"/>
                <w:b/>
                <w:sz w:val="20"/>
                <w:u w:val="single"/>
              </w:rPr>
              <w:t>Authority</w:t>
            </w:r>
            <w:r>
              <w:rPr>
                <w:rFonts w:ascii="Times New Roman" w:hAnsi="Times New Roman"/>
                <w:sz w:val="20"/>
              </w:rPr>
              <w:t xml:space="preserve">” means any federal, state, local, foreign or other governmental, quasi-governmental or administrative body, instrumentality, department or agency or any court, tribunal, administrative hearing body, arbitration panel, commission, or other similar dispute-resolving panel or body. </w:t>
            </w:r>
          </w:p>
        </w:tc>
      </w:tr>
    </w:tbl>
    <w:p>
      <w:pPr>
        <w:pStyle w:val="TextBody"/>
        <w:bidi w:val="0"/>
        <w:spacing w:before="240" w:after="0"/>
        <w:jc w:val="left"/>
        <w:rPr>
          <w:rFonts w:ascii="Times New Roman" w:hAnsi="Times New Roman"/>
          <w:sz w:val="20"/>
        </w:rPr>
      </w:pPr>
      <w:r>
        <w:rPr>
          <w:rFonts w:ascii="Times New Roman" w:hAnsi="Times New Roman"/>
          <w:sz w:val="20"/>
        </w:rPr>
        <w:t xml:space="preserve">(f) The obligation of Apollomics to consummate the transactions contemplated herein shall be subject to the satisfaction or valid waiver by Apollomics of the additional conditions that, on the Subscription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representations and warranties of Subscriber contained in this Subscription Agreement shall be true and correct in all material respects (other than representations and warranties that are qualified as to materiality or Subscriber Material Adverse Effect (as defined herein), which representations and warranties shall be true and correct in all respects) at and as of the Closing (except for representations and warranties that speak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as of a specific date, which shall be true and correct in all material respects as of such date (other than representations and warranties that are qualified as to materiality or Subscriber Material Adverse Effect, which representations and warranties shall be true and correct in all respects) as of such date), and consummation of the transactions contemplated herein shall constitute a reaffirmation by Subscriber of each of the representations, warranties and agreements of Subscriber contained in this Subscription Agreement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Subscriber shall have performed, satisfied and complied in all material respects with all covenants, agreements and conditions required by this Subscription Agreement to be performed, satisfied or complied with by it at or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Apollomics shall have received in full the Purchase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 The obligation of Subscriber to consummate the transactions contemplated herein shall be subject to the satisfaction or valid waiver by Subscriber of the additional conditions that, on the Subscription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representations and warranties of Apollomics contained in this Subscription Agreement shall be true and correct in all material respects (other than representations and warranties that are qualified as to materiality or Apollomics Material Adverse Effect (as defined herein), which representations and warranties shall be true and correct in all respects) at and as of the Closing (except for representations and warranties that speak as of a specific date, which shall be true and correct in all material respects as of such date (other than representations and warranties that are qualified as to materiality or Apollomics Material Adverse Effect, which representations and warranties shall be true and correct in all respects) as of such date), and consummation of the transactions contemplated herein shall constitute a reaffirmation by Apollomics of each of the representations, warranties and agreements of Apollomics contained in this Subscription Agreement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Apollomics shall have performed, satisfied and complied in all material respects with all covenants, agreements and conditions required by this Subscription Agreement to be performed, satisfied or complied with by it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Apollomics shall have submitted to The Nasdaq Stock Market, LLC (the “</w:t>
            </w:r>
            <w:r>
              <w:rPr>
                <w:rFonts w:ascii="Times New Roman" w:hAnsi="Times New Roman"/>
                <w:b/>
                <w:sz w:val="20"/>
                <w:u w:val="single"/>
              </w:rPr>
              <w:t>Stock Exchange</w:t>
            </w:r>
            <w:r>
              <w:rPr>
                <w:rFonts w:ascii="Times New Roman" w:hAnsi="Times New Roman"/>
                <w:sz w:val="20"/>
              </w:rPr>
              <w:t xml:space="preserve">”) a Notification Form: Listing of Additional Shares for the listing of the Subscribed Shares and Other Subscribed Shares and the Stock Exchange shall have raised no objections to the consummation of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(h) Prior to or at the Closing, Subscriber shall execute and deliver or cause to be executed and delivered all such other documents, instruments and information as is reasonably requested by Apollomics in order for Apollomics to issue the Subscribed Shares to Subscriber, including a duly completed and executed Internal Revenue Service Form W-9 or appropriate Form W-8.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Apollomics Representations and Warranties</w:t>
      </w:r>
      <w:r>
        <w:rPr>
          <w:rFonts w:ascii="Times New Roman" w:hAnsi="Times New Roman"/>
          <w:i/>
          <w:sz w:val="20"/>
        </w:rPr>
        <w:t xml:space="preserve">. </w:t>
      </w:r>
      <w:r>
        <w:rPr>
          <w:rFonts w:ascii="Times New Roman" w:hAnsi="Times New Roman"/>
          <w:sz w:val="20"/>
        </w:rPr>
        <w:t>Apollomics represents and warrants to Subscriber that, except as otherwise expressly set forth in the reports, schedules, forms, statements and other documents filed or furnished by Apollomics under the Securities Act of 1933, as amended (the “</w:t>
      </w:r>
      <w:r>
        <w:rPr>
          <w:rFonts w:ascii="Times New Roman" w:hAnsi="Times New Roman"/>
          <w:b/>
          <w:sz w:val="20"/>
          <w:u w:val="single"/>
        </w:rPr>
        <w:t>Securities Act</w:t>
      </w:r>
      <w:r>
        <w:rPr>
          <w:rFonts w:ascii="Times New Roman" w:hAnsi="Times New Roman"/>
          <w:sz w:val="20"/>
        </w:rPr>
        <w:t>”), and the Securities Exchange Act of 1934, as amended (the “</w:t>
      </w:r>
      <w:r>
        <w:rPr>
          <w:rFonts w:ascii="Times New Roman" w:hAnsi="Times New Roman"/>
          <w:b/>
          <w:sz w:val="20"/>
          <w:u w:val="single"/>
        </w:rPr>
        <w:t>Exchange</w:t>
      </w:r>
      <w:r>
        <w:rPr>
          <w:rFonts w:ascii="Times New Roman" w:hAnsi="Times New Roman"/>
          <w:sz w:val="20"/>
          <w:u w:val="single"/>
        </w:rPr>
        <w:t xml:space="preserve"> </w:t>
      </w:r>
      <w:r>
        <w:rPr>
          <w:rFonts w:ascii="Times New Roman" w:hAnsi="Times New Roman"/>
          <w:b/>
          <w:sz w:val="20"/>
          <w:u w:val="single"/>
        </w:rPr>
        <w:t>Act</w:t>
      </w:r>
      <w:r>
        <w:rPr>
          <w:rFonts w:ascii="Times New Roman" w:hAnsi="Times New Roman"/>
          <w:sz w:val="20"/>
        </w:rPr>
        <w:t>”), including pursuant to Section 13(a) or 15(d) thereof, during the one-year period preceding the date hereof (collectively, the “</w:t>
      </w:r>
      <w:r>
        <w:rPr>
          <w:rFonts w:ascii="Times New Roman" w:hAnsi="Times New Roman"/>
          <w:b/>
          <w:sz w:val="20"/>
          <w:u w:val="single"/>
        </w:rPr>
        <w:t>SEC Filings</w:t>
      </w:r>
      <w:r>
        <w:rPr>
          <w:rFonts w:ascii="Times New Roman" w:hAnsi="Times New Roman"/>
          <w:sz w:val="20"/>
        </w:rPr>
        <w:t xml:space="preserve">”), which qualify these representations and warranties in their entirety: </w:t>
      </w:r>
    </w:p>
    <w:p>
      <w:pPr>
        <w:pStyle w:val="TextBody"/>
        <w:bidi w:val="0"/>
        <w:spacing w:before="240" w:after="0"/>
        <w:jc w:val="left"/>
        <w:rPr>
          <w:rFonts w:ascii="Times New Roman" w:hAnsi="Times New Roman"/>
          <w:sz w:val="20"/>
        </w:rPr>
      </w:pPr>
      <w:r>
        <w:rPr>
          <w:rFonts w:ascii="Times New Roman" w:hAnsi="Times New Roman"/>
          <w:sz w:val="20"/>
        </w:rPr>
        <w:t>(a) Apollomics (i) is duly organized, validly existing and in good standing under the laws of the Cayman Islands, (ii) has the requisite corporate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an Apollomics Material Adverse Effect. For purposes of this Subscription Agreement, an “</w:t>
      </w:r>
      <w:r>
        <w:rPr>
          <w:rFonts w:ascii="Times New Roman" w:hAnsi="Times New Roman"/>
          <w:b/>
          <w:sz w:val="20"/>
          <w:u w:val="single"/>
        </w:rPr>
        <w:t>Apollomics Material Adverse Effect</w:t>
      </w:r>
      <w:r>
        <w:rPr>
          <w:rFonts w:ascii="Times New Roman" w:hAnsi="Times New Roman"/>
          <w:sz w:val="20"/>
        </w:rPr>
        <w:t xml:space="preserve">” means an event, change, development, occurrence, condition or effect with respect to Apollomics and its subsidiaries, taken together as a whole (on a consolidated basis), that, individually or in the aggregate, would reasonably be expected to have a material adverse effect on Apollomics’ ability to consummate the transactions contemplated hereby, including the issuance and sale of the Subscribed Shares. </w:t>
      </w:r>
    </w:p>
    <w:p>
      <w:pPr>
        <w:pStyle w:val="TextBody"/>
        <w:bidi w:val="0"/>
        <w:spacing w:before="240" w:after="0"/>
        <w:jc w:val="left"/>
        <w:rPr>
          <w:rFonts w:ascii="Times New Roman" w:hAnsi="Times New Roman"/>
          <w:sz w:val="20"/>
        </w:rPr>
      </w:pPr>
      <w:r>
        <w:rPr>
          <w:rFonts w:ascii="Times New Roman" w:hAnsi="Times New Roman"/>
          <w:sz w:val="20"/>
        </w:rPr>
        <w:t xml:space="preserve">(b) As of the Subscription Closing Date, the Subscribed Shares will be duly authorized and, when issued and delivered to Subscriber against full payment therefor in accordance with the terms of this Subscription Agreement,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(c) This Subscription Agreement has been duly authorized, executed and delivered by Apollomics, and, assuming the due authorization, execution and delivery of the same by Subscriber, this Subscription Agreement shall constitute the valid and legally binding obligation of Apollomics, enforceable against Apollomics in accordance with its terms, except as such enforceability may be limited by bankruptcy, insolvency, reorganization, moratorium and similar laws affecting the rights of creditors generally and by the availability of equitable remedies. </w:t>
      </w:r>
    </w:p>
    <w:p>
      <w:pPr>
        <w:pStyle w:val="TextBody"/>
        <w:bidi w:val="0"/>
        <w:spacing w:before="240" w:after="0"/>
        <w:jc w:val="left"/>
        <w:rPr>
          <w:rFonts w:ascii="Times New Roman" w:hAnsi="Times New Roman"/>
          <w:sz w:val="20"/>
        </w:rPr>
      </w:pPr>
      <w:r>
        <w:rPr>
          <w:rFonts w:ascii="Times New Roman" w:hAnsi="Times New Roman"/>
          <w:sz w:val="20"/>
        </w:rPr>
        <w:t xml:space="preserve">(d) The authorized share capital of Apollomics consists of 100,000,000 Class A ordinary shares, par value $0.01 per share, 20,000,000 Class B ordinary shares, par value $0.01 per share, and 10,000,000 preference shares, par value $0.01 per share. Apollomics’ issued and outstanding share capital is as set forth in the most recent SEC Filing containing such disclosure as of the date indicated in such SEC Filing (except for subsequent issuances, if any, pursuant to this Subscription Agreement and the Other Subscription Agreements or pursuant to reservations, agreements or employee benefit plans, in each case, referred to in the SEC Filings, pursuant to the exercise of convertible securities or options or the vesting of future awards referred to in the SEC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Assuming the accuracy of the representations and warranties of Subscriber, the execution and delivery of this Subscription Agreement, the issuance and sale of the Subscribed Shares and the compliance by Apollomics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Apollomics pursuant to the terms of (i) any indenture, mortgage, deed of trust, loan agreement, lease, license or other agreement or instrument to which Apollomics is a party or by which Apollomics is bound or to which any of the property or assets of Apollomics is subject; (ii) Apollomics’ sixth amended and restated memorandum and articles of association; or (iii) any statute or any judgment, order, rule or regulation of any court or Governmental Authority or body, domestic or foreign, having jurisdiction over Apollomics or any of its properties that,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would reasonably be expected to have an Apollomics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Assuming the accuracy of the representations and warranties of Subscriber, Apollomics is not required to obtain any consent, waiver, authorization or order of, give any notice to, or make any filing or registration with, any court or U.S. federal, state, local or other Governmental Authority, self-regulatory organization or other person in connection with the execution, delivery and performance by Apollomics of this Subscription Agreement (including, without limitation, the issuance of the Subscribed Shares), other than (i) filings required by applicable local or U.S. state securities laws, (ii) filings required by the Stock Exchange in connection with the listing of the Subscribed Shares, and (iii) filings, the failure of which to obtain would not be reasonably likely to have, individually or in the aggregate, an Apollomics Material Adverse Effect. </w:t>
      </w:r>
    </w:p>
    <w:p>
      <w:pPr>
        <w:pStyle w:val="TextBody"/>
        <w:bidi w:val="0"/>
        <w:spacing w:before="240" w:after="0"/>
        <w:jc w:val="left"/>
        <w:rPr>
          <w:rFonts w:ascii="Times New Roman" w:hAnsi="Times New Roman"/>
          <w:sz w:val="20"/>
        </w:rPr>
      </w:pPr>
      <w:r>
        <w:rPr>
          <w:rFonts w:ascii="Times New Roman" w:hAnsi="Times New Roman"/>
          <w:sz w:val="20"/>
        </w:rPr>
        <w:t>(g) Apollomics has filed all SEC Filings. At the time of filing thereof, the SEC Filings conformed in all material respects to the requirements of the Securities Act or the Exchange Act, as applicable, and the rules and regulations of the U.S. Securities and Exchange Commission (the “</w:t>
      </w:r>
      <w:r>
        <w:rPr>
          <w:rFonts w:ascii="Times New Roman" w:hAnsi="Times New Roman"/>
          <w:b/>
          <w:sz w:val="20"/>
          <w:u w:val="single"/>
        </w:rPr>
        <w:t>SEC</w:t>
      </w:r>
      <w:r>
        <w:rPr>
          <w:rFonts w:ascii="Times New Roman" w:hAnsi="Times New Roman"/>
          <w:sz w:val="20"/>
        </w:rPr>
        <w:t xml:space="preserve">”) thereunder and none of the SEC Filings, as of their respective dates, contained an untrue statement of a material fact or omitted to state a material fact required to be stated therein or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(h) Other than as disclosed in the SEC Filings, Apollomics is in compliance with applicable Stock Exchange continued listing requirements. The issued and outstanding Ordinary Shares are registered pursuant to Section 12(b) of the Exchange Act and are listed for trading on the Stock Exchange under the symbol “APLM.” Other than as disclosed in the SEC Filings, there is no suit, action, proceeding or investigation pending or, to the knowledge of Apollomics, threatened against Apollomics by the Stock Exchange or the SEC with respect to any intention by such entity to deregister the Ordinary Shares or prohibit or terminate the listing of the Ordinary Shares on the Stock Exchange. Apollomics has taken no action that is designed to, or is reasonably likely to, terminate the registration of the Ordinary Shares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(i) Except for such matters as have not had and would not be reasonably likely to have an Apollomics Material Adverse Effect, there is no (i) suit, action, proceeding or arbitration before a Governmental Authority or arbitrator pending, or, to the knowledge of Apollomics, threatened in writing against Apollomics or (ii) judgment, decree, injunction, ruling or order of any Governmental Authority or arbitrator outstanding against Apollomics.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Except as disclosed in the SEC Filings or as would not reasonably be expected, individually or in the aggregate, to have an Apollomics Material Adverse Effect, (i) to the knowledge of Apollomics, Apollomics and its subsidiaries own, or have a license to, all patents, patent applications, patent rights,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w:t>
      </w:r>
      <w:r>
        <w:rPr>
          <w:rFonts w:ascii="Times New Roman" w:hAnsi="Times New Roman"/>
          <w:b/>
          <w:sz w:val="20"/>
          <w:u w:val="single"/>
        </w:rPr>
        <w:t>Apollomics Intellectual Property</w:t>
      </w:r>
      <w:r>
        <w:rPr>
          <w:rFonts w:ascii="Times New Roman" w:hAnsi="Times New Roman"/>
          <w:sz w:val="20"/>
        </w:rPr>
        <w:t xml:space="preserve">”) currently used in the conduct of their respective businesses, free and clear of all liens, security interests or encumbrances and such Apollomics Intellectual Property is subsisting and unexpired, and to the knowledge of Apollomics, valid, enforceable, and free of material defects; (ii) to the knowledge of Apollomics, Apollomics’ and its subsidiaries’ conduct of their respective businesses does not infringe, misappropriate or otherwise violate any intellectual property or contractual rights of any person; (iii) Apollomics and its subsidiaries have not received any written notice of any claim relating to Apollomics Intellectual Property; (iv) to the knowledge of Apollomics, the Apollomics Intellectual Property and its subsidiaries is not being infringed, misappropriated or otherwise violated by any person; (v) there are no actions pending, or to the knowledge of Apollomics, threatened against Apollomics or its subsidiaries relating to Apollomics Intellectual Property; (vi) to the knowledge of Apollomics, Apollomics and its subsidiaries have complied in all material respects with the terms of each agreement pursuant to which Apollomics Intellectual Property has been licensed to Apollomics or its subsidiaries, as applicable, and, to Apollomics’ knowledge, all such agreements are in full force and effect; and (vii) to the knowledge of Apollomics, Apollomics and its subsidiaries have taken all reasonable steps to protect, maintain and safeguard Apollomics Intellectual Property and to require all employees and contractors (A) with access to trade secrets and confidential information to execute non-disclosure and confidentiality agreements with Apollomics or its subsidiaries, as applicable, and (B) who have been involved in the creation, invention or development of material Apollomics Intellectual Property for or on behalf of Apollomics to assign in writing to Apollomics or its subsidiaries, as applicable, all of their rights therein. </w:t>
      </w:r>
    </w:p>
    <w:p>
      <w:pPr>
        <w:pStyle w:val="TextBody"/>
        <w:bidi w:val="0"/>
        <w:spacing w:before="240" w:after="0"/>
        <w:jc w:val="left"/>
        <w:rPr>
          <w:rFonts w:ascii="Times New Roman" w:hAnsi="Times New Roman"/>
          <w:sz w:val="20"/>
        </w:rPr>
      </w:pPr>
      <w:r>
        <w:rPr>
          <w:rFonts w:ascii="Times New Roman" w:hAnsi="Times New Roman"/>
          <w:sz w:val="20"/>
        </w:rPr>
        <w:t>(k) To the knowledge of Apollomics, the preclinical tests and clinical trials conducted by or on behalf of Apollomics, or in which Apollomics’ product candidates have participated, including those that are described in, or the results of which are referred to in, the SEC Filings, were and, if still pending, are being and have been conducted in all material respects in accordance with all applicable laws, rules, and regulations of the U.S. Food and Drug Administration and comparable regulatory agencies outside of the United States to which they are subject (collectively, the “</w:t>
      </w:r>
      <w:r>
        <w:rPr>
          <w:rFonts w:ascii="Times New Roman" w:hAnsi="Times New Roman"/>
          <w:b/>
          <w:sz w:val="20"/>
          <w:u w:val="single"/>
        </w:rPr>
        <w:t>Regulatory Agencies</w:t>
      </w:r>
      <w:r>
        <w:rPr>
          <w:rFonts w:ascii="Times New Roman" w:hAnsi="Times New Roman"/>
          <w:sz w:val="20"/>
        </w:rPr>
        <w:t xml:space="preserve">”); each description of such tests and trials, and the results thereof, contained in the SEC Filings is accurate and complete in all material respects and fairly presents the data about and derived from such tests and trials, and Apollomics has no knowledge of any other studies or tests the results of which are inconsistent with, or otherwise call into question, the results described or referred to in the SEC Filings; and Apollomics has not received any notices or other correspondence from any Regulatory Agency requiring the termination, suspension or material adverse modification of any preclinical tests or clinical trials that are, or whose results of which are, described or referred to in the SEC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 To the knowledge of Apollomics, Apollomics and its directors, officers, employees and agents are in compliance in all material respects with all applicable Health Care Laws (as defined below), and have not engaged in activities which are, as applicable, cause for false claims liability, civil penalties, or mandatory or permissive exclusion from Medicare, Medicaid, or any other state, provincial, or federal health care program. “</w:t>
      </w:r>
      <w:r>
        <w:rPr>
          <w:rFonts w:ascii="Times New Roman" w:hAnsi="Times New Roman"/>
          <w:b/>
          <w:sz w:val="20"/>
          <w:u w:val="single"/>
        </w:rPr>
        <w:t>Health Care Laws</w:t>
      </w:r>
      <w:r>
        <w:rPr>
          <w:rFonts w:ascii="Times New Roman" w:hAnsi="Times New Roman"/>
          <w:sz w:val="20"/>
        </w:rPr>
        <w:t xml:space="preserve">” means the laws and regulations of the Regulatory Agencies and any other similar local, state, provincial, or federal law. Apollomics has not received any FDA Form 483, notice of adverse finding, warning letter, untitled letter or other correspondence or notice from the U.S. Food and Drug Administration or any other Regulatory Agency alleging or asserting noncompliance with any Health Care Laws applicable to Apollomics or its subsidiaries. Additionally, to the knowledge of Apollomics, Apollomics is not a party to nor has any ongoing reporting obligations pursuant to any corporate integrity agreements, deferred prosecution agreements, monitoring agreements, consent decrees, settlement orders, plans of correction or similar agreements with or imposed by any Regulatory Agency. To the knowledge of Apollomics, none of Apollomics nor any of its respective employees, officers or directors, or agents has been excluded, suspended or debarred from participation in any U.S. federal health care program or human clinical research or, to the knowledge of Apollomics,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 xml:space="preserve">(m) Neither Apollomics nor any person acting on its behalf has engaged or will engage in any form of general solicitation or general advertising (within the meaning of Regulation D under the Securities Act) in connection with any offer or sale of the Subscribed Shares. Assuming the accuracy of the undersigned’s representations and warranties set forth in </w:t>
      </w:r>
      <w:r>
        <w:rPr>
          <w:rFonts w:ascii="Times New Roman" w:hAnsi="Times New Roman"/>
          <w:sz w:val="20"/>
          <w:u w:val="single"/>
        </w:rPr>
        <w:t>Section 4</w:t>
      </w:r>
      <w:r>
        <w:rPr>
          <w:rFonts w:ascii="Times New Roman" w:hAnsi="Times New Roman"/>
          <w:sz w:val="20"/>
        </w:rPr>
        <w:t xml:space="preserve"> and the undersigned’s compliance with its obligations set forth in this Subscription Agreement, no registration under the Securities Act is required for the offer and sale of the Subscribed Shares to the undersigned hereunder. </w:t>
      </w:r>
    </w:p>
    <w:p>
      <w:pPr>
        <w:pStyle w:val="TextBody"/>
        <w:bidi w:val="0"/>
        <w:spacing w:before="240" w:after="0"/>
        <w:jc w:val="left"/>
        <w:rPr>
          <w:rFonts w:ascii="Times New Roman" w:hAnsi="Times New Roman"/>
          <w:sz w:val="20"/>
        </w:rPr>
      </w:pPr>
      <w:r>
        <w:rPr>
          <w:rFonts w:ascii="Times New Roman" w:hAnsi="Times New Roman"/>
          <w:sz w:val="20"/>
        </w:rPr>
        <w:t xml:space="preserve">(n) Apollomics is not, and immediately after receipt of payment for the Subscribed Shares will not be,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Subscriber Representations and Warranties</w:t>
      </w:r>
      <w:r>
        <w:rPr>
          <w:rFonts w:ascii="Times New Roman" w:hAnsi="Times New Roman"/>
          <w:i/>
          <w:sz w:val="20"/>
        </w:rPr>
        <w:t xml:space="preserve">. </w:t>
      </w:r>
      <w:r>
        <w:rPr>
          <w:rFonts w:ascii="Times New Roman" w:hAnsi="Times New Roman"/>
          <w:sz w:val="20"/>
        </w:rPr>
        <w:t xml:space="preserve">Subscriber represents and warrants to Apollomics that: </w:t>
      </w:r>
    </w:p>
    <w:p>
      <w:pPr>
        <w:pStyle w:val="TextBody"/>
        <w:bidi w:val="0"/>
        <w:spacing w:before="240" w:after="0"/>
        <w:jc w:val="left"/>
        <w:rPr>
          <w:rFonts w:ascii="Times New Roman" w:hAnsi="Times New Roman"/>
          <w:sz w:val="20"/>
        </w:rPr>
      </w:pPr>
      <w:r>
        <w:rPr>
          <w:rFonts w:ascii="Times New Roman" w:hAnsi="Times New Roman"/>
          <w:sz w:val="20"/>
        </w:rPr>
        <w:t xml:space="preserve">(a) If Subscriber is a legal entity, Subscriber (i) is duly organized, validly existing and in good standing under the laws of its jurisdiction of incorporation or organization and (ii) has the requisite power and authority to enter into, deliver and perform its obligations under this Subscription Agreement. If Subscriber is an individual, Subscriber has the legal competence and capacity to enter into, deliver and perform its obligations under this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Subscriber is a legal entity, this Subscription Agreement has been duly authorized, executed and delivered by Subscriber. If Subscriber is an individual, Subscriber’s signature is genuine and the signatory has the legal competence and capacity to execute this Subscription Agreement. Assuming the due authorization, execution and delivery of the same by Apollomics,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execution, delivery and performance by Subscriber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if Subscriber is a legal entity, the organizational documents of Subscriber; or (iii) any statute or any judgment, order, rule or regulation of any court or Governmental Authority or body, domestic or foreign, having jurisdiction over Subscriber or any of its properties that, in the case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would reasonably be expected to have a Subscriber Material Adverse Effect. For purposes of this Subscription Agreement, a “</w:t>
      </w:r>
      <w:r>
        <w:rPr>
          <w:rFonts w:ascii="Times New Roman" w:hAnsi="Times New Roman"/>
          <w:b/>
          <w:sz w:val="20"/>
          <w:u w:val="single"/>
        </w:rPr>
        <w:t>Subscriber</w:t>
      </w:r>
      <w:r>
        <w:rPr>
          <w:rFonts w:ascii="Times New Roman" w:hAnsi="Times New Roman"/>
          <w:sz w:val="20"/>
        </w:rPr>
        <w:t xml:space="preserve"> </w:t>
      </w:r>
      <w:r>
        <w:rPr>
          <w:rFonts w:ascii="Times New Roman" w:hAnsi="Times New Roman"/>
          <w:b/>
          <w:sz w:val="20"/>
          <w:u w:val="single"/>
        </w:rPr>
        <w:t>Material Adverse Effect</w:t>
      </w:r>
      <w:r>
        <w:rPr>
          <w:rFonts w:ascii="Times New Roman" w:hAnsi="Times New Roman"/>
          <w:sz w:val="20"/>
        </w:rPr>
        <w:t xml:space="preserve">”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 </w:t>
      </w:r>
    </w:p>
    <w:p>
      <w:pPr>
        <w:pStyle w:val="TextBody"/>
        <w:bidi w:val="0"/>
        <w:spacing w:before="240" w:after="0"/>
        <w:jc w:val="left"/>
        <w:rPr>
          <w:rFonts w:ascii="Times New Roman" w:hAnsi="Times New Roman"/>
          <w:sz w:val="20"/>
        </w:rPr>
      </w:pPr>
      <w:r>
        <w:rPr>
          <w:rFonts w:ascii="Times New Roman" w:hAnsi="Times New Roman"/>
          <w:sz w:val="20"/>
        </w:rPr>
        <w:t xml:space="preserve">(d) Subscriber (i) is a “qualified institutional buyer” (as defined in Rule 144A under the Securities Act) or an institutional “accredited investor” (within the meaning of Rule 501(a) under the Securities Act), (ii) is acquiring the Subscribed Shares only for its own account and not for the account of others, or, if Subscriber is subscribing for the Subscribed Shares as a fiduciary or agent for one or more investor accounts, each owner of such account is a qualified institutional buyer or an accredited investor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(and has provided Apollomics with the requested information on </w:t>
      </w:r>
      <w:r>
        <w:rPr>
          <w:rFonts w:ascii="Times New Roman" w:hAnsi="Times New Roman"/>
          <w:sz w:val="20"/>
          <w:u w:val="single"/>
        </w:rPr>
        <w:t>Annex A</w:t>
      </w:r>
      <w:r>
        <w:rPr>
          <w:rFonts w:ascii="Times New Roman" w:hAnsi="Times New Roman"/>
          <w:sz w:val="20"/>
        </w:rPr>
        <w:t xml:space="preserve"> following the signature page hereto). Subscriber is not an entity formed for the specific purpose of acquiring the Subscribed Shares, unless such newly formed entity is an entity in which all of the equity owners are accredited investors and is an “institutional account” as defined by FINRA Rule 4512(c). </w:t>
      </w:r>
    </w:p>
    <w:p>
      <w:pPr>
        <w:pStyle w:val="TextBody"/>
        <w:bidi w:val="0"/>
        <w:spacing w:before="240" w:after="0"/>
        <w:jc w:val="left"/>
        <w:rPr>
          <w:rFonts w:ascii="Times New Roman" w:hAnsi="Times New Roman"/>
          <w:sz w:val="20"/>
        </w:rPr>
      </w:pPr>
      <w:r>
        <w:rPr>
          <w:rFonts w:ascii="Times New Roman" w:hAnsi="Times New Roman"/>
          <w:sz w:val="20"/>
        </w:rPr>
        <w:t xml:space="preserve">(e) Subscriber understands that the Subscribed Shares are being offered in a transaction not involving any public offering within the meaning of the Securities Act and that the Subscribed Shares have not been registered under the Securities Act and that Apollomics is not required to register the Subscribed Shares. Subscriber understands that the Subscribed Shares may not be offered, resold, transferred, pledged or otherwise disposed of by Subscriber absent an effective registration statement under the Securities Act, except (i) to Apollomics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Subscriber acknowledges and agrees that the Subscribed Shares will not be initially eligible for offer, resale, transfer, pledge or disposition pursuant to Rule 144 promulgated under the Securities Act (“</w:t>
      </w:r>
      <w:r>
        <w:rPr>
          <w:rFonts w:ascii="Times New Roman" w:hAnsi="Times New Roman"/>
          <w:b/>
          <w:sz w:val="20"/>
          <w:u w:val="single"/>
        </w:rPr>
        <w:t>Rule 144</w:t>
      </w:r>
      <w:r>
        <w:rPr>
          <w:rFonts w:ascii="Times New Roman" w:hAnsi="Times New Roman"/>
          <w:sz w:val="20"/>
        </w:rPr>
        <w:t xml:space="preserve">”). Subscriber understands that it has been advised to consult legal counsel prior to making any offer, resale, pledge or transfer of any of the Subscribed Shares. </w:t>
      </w:r>
    </w:p>
    <w:p>
      <w:pPr>
        <w:pStyle w:val="TextBody"/>
        <w:bidi w:val="0"/>
        <w:spacing w:before="240" w:after="0"/>
        <w:jc w:val="left"/>
        <w:rPr>
          <w:rFonts w:ascii="Times New Roman" w:hAnsi="Times New Roman"/>
          <w:sz w:val="20"/>
        </w:rPr>
      </w:pPr>
      <w:r>
        <w:rPr>
          <w:rFonts w:ascii="Times New Roman" w:hAnsi="Times New Roman"/>
          <w:sz w:val="20"/>
        </w:rPr>
        <w:t xml:space="preserve">(f) Subscriber understands that each book entry for the Subscribed Shares shall contain a notation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 </w:t>
      </w:r>
    </w:p>
    <w:p>
      <w:pPr>
        <w:pStyle w:val="TextBody"/>
        <w:bidi w:val="0"/>
        <w:spacing w:before="120" w:after="0"/>
        <w:jc w:val="left"/>
        <w:rPr>
          <w:rFonts w:ascii="Times New Roman" w:hAnsi="Times New Roman"/>
          <w:sz w:val="20"/>
        </w:rPr>
      </w:pPr>
      <w:r>
        <w:rPr>
          <w:rFonts w:ascii="Times New Roman" w:hAnsi="Times New Roman"/>
          <w:sz w:val="20"/>
        </w:rPr>
        <w:t xml:space="preserve">(1) AGREES FOR THE BENEFIT OF APOLLOMICS INC. (THE “COMPANY”) THAT IT WILL NOT OFFER, SELL, PLEDGE OR OTHERWISE TRANSFER THIS SECURITY OR ANY BENEFICIAL INTEREST HEREIN PRIOR TO THE DATE THAT IS THE LATER OF (X) SUCH PERIOD OF TIME AS PERMITTED BY RULE 144 UNDER THE SECURITIES ACT OR ANY SUCCESSOR PROVISION THERETO AND (Y) SUCH LATER DATE, IF ANY, AS MAY BE REQUIRED BY APPLICABLE LAW, EXCEPT: </w:t>
      </w:r>
    </w:p>
    <w:p>
      <w:pPr>
        <w:pStyle w:val="TextBody"/>
        <w:bidi w:val="0"/>
        <w:spacing w:before="120" w:after="0"/>
        <w:jc w:val="left"/>
        <w:rPr>
          <w:rFonts w:ascii="Times New Roman" w:hAnsi="Times New Roman"/>
          <w:sz w:val="20"/>
        </w:rPr>
      </w:pPr>
      <w:r>
        <w:rPr>
          <w:rFonts w:ascii="Times New Roman" w:hAnsi="Times New Roman"/>
          <w:sz w:val="20"/>
        </w:rPr>
        <w:t xml:space="preserve">(A) TO THE COMPANY OR ANY SUBSIDIARY THEREOF, OR </w:t>
      </w:r>
    </w:p>
    <w:p>
      <w:pPr>
        <w:pStyle w:val="TextBody"/>
        <w:bidi w:val="0"/>
        <w:spacing w:before="120" w:after="0"/>
        <w:jc w:val="left"/>
        <w:rPr>
          <w:rFonts w:ascii="Times New Roman" w:hAnsi="Times New Roman"/>
          <w:sz w:val="20"/>
        </w:rPr>
      </w:pPr>
      <w:r>
        <w:rPr>
          <w:rFonts w:ascii="Times New Roman" w:hAnsi="Times New Roman"/>
          <w:sz w:val="20"/>
        </w:rPr>
        <w:t xml:space="preserve">(B) PURSUANT TO A REGISTRATION STATEMENT THAT HAS BECOME EFFECTIVE UNDER THE SECURITIES ACT AND IS EFFECTIVE AT THE TIME OF SUCH TRANSFER, OR </w:t>
      </w:r>
    </w:p>
    <w:p>
      <w:pPr>
        <w:pStyle w:val="TextBody"/>
        <w:bidi w:val="0"/>
        <w:spacing w:before="120" w:after="0"/>
        <w:jc w:val="left"/>
        <w:rPr>
          <w:rFonts w:ascii="Times New Roman" w:hAnsi="Times New Roman"/>
          <w:sz w:val="20"/>
        </w:rPr>
      </w:pPr>
      <w:r>
        <w:rPr>
          <w:rFonts w:ascii="Times New Roman" w:hAnsi="Times New Roman"/>
          <w:sz w:val="20"/>
        </w:rPr>
        <w:t xml:space="preserve">(C) PURSUANT TO AN EXEMPTION FROM REGISTRATION PROVIDED BY RULE 144 UNDER THE SECURITIES ACT OR ANY OTHER AVAILABLE EXEMPTION FROM THE REGISTRATION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PRIOR TO THE REGISTRATION OF ANY TRANSFER IN ACCORDANCE WITH CLAUSE (1)(C)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Subscriber understands and agrees that Subscriber is purchasing the Subscribed Shares directly from Apollomics. Subscriber further acknowledges that there have not been, and Subscriber hereby agrees that it is not relying on, any representations, warranties, covenants or agreements made to Subscriber by Apollomics, any of its affiliates or any control persons, officers, directors, employees, partners, agents or representatives, any other party to the transactions contemplated herein or any other person or entity, expressly or by implication, other than those representations, warranties, covenants and agreements of Apollomics set forth in </w:t>
      </w:r>
      <w:r>
        <w:rPr>
          <w:rFonts w:ascii="Times New Roman" w:hAnsi="Times New Roman"/>
          <w:sz w:val="20"/>
          <w:u w:val="single"/>
        </w:rPr>
        <w:t>Section 3</w:t>
      </w:r>
      <w:r>
        <w:rPr>
          <w:rFonts w:ascii="Times New Roman" w:hAnsi="Times New Roman"/>
          <w:sz w:val="20"/>
        </w:rPr>
        <w:t xml:space="preserve">. Subscriber acknowledges that certain information provided by Apollomics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Subscriber further acknowledges that the information provided to Subscriber was preliminary and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(h) In making its decision to purchase the Subscribed Shares, Subscriber has relied solely upon independent investigation made by Subscriber and the representations and warranties made by Apollomics in </w:t>
      </w:r>
      <w:r>
        <w:rPr>
          <w:rFonts w:ascii="Times New Roman" w:hAnsi="Times New Roman"/>
          <w:sz w:val="20"/>
          <w:u w:val="single"/>
        </w:rPr>
        <w:t>Section 3</w:t>
      </w:r>
      <w:r>
        <w:rPr>
          <w:rFonts w:ascii="Times New Roman" w:hAnsi="Times New Roman"/>
          <w:sz w:val="20"/>
        </w:rPr>
        <w:t xml:space="preserve">. Subscriber acknowledges and agrees that Subscriber has received such information as Subscriber deems necessary in order to make an investment decision with respect to the Subscribed Shares, including with respect to Apollomics and the transactions contemplated herein. </w:t>
      </w:r>
    </w:p>
    <w:p>
      <w:pPr>
        <w:pStyle w:val="TextBody"/>
        <w:bidi w:val="0"/>
        <w:spacing w:before="240" w:after="0"/>
        <w:jc w:val="left"/>
        <w:rPr>
          <w:rFonts w:ascii="Times New Roman" w:hAnsi="Times New Roman"/>
          <w:sz w:val="20"/>
        </w:rPr>
      </w:pPr>
      <w:r>
        <w:rPr>
          <w:rFonts w:ascii="Times New Roman" w:hAnsi="Times New Roman"/>
          <w:sz w:val="20"/>
        </w:rPr>
        <w:t xml:space="preserve">(i)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Without limiting the generality of the foregoing, the Subscriber acknowledges that it has reviewed the SEC Filings. </w:t>
      </w:r>
    </w:p>
    <w:p>
      <w:pPr>
        <w:pStyle w:val="TextBody"/>
        <w:bidi w:val="0"/>
        <w:spacing w:before="240" w:after="0"/>
        <w:jc w:val="left"/>
        <w:rPr>
          <w:rFonts w:ascii="Times New Roman" w:hAnsi="Times New Roman"/>
          <w:sz w:val="20"/>
        </w:rPr>
      </w:pPr>
      <w:r>
        <w:rPr>
          <w:rFonts w:ascii="Times New Roman" w:hAnsi="Times New Roman"/>
          <w:sz w:val="20"/>
        </w:rPr>
        <w:t>(j) Subscriber acknowledges that (A) Apollomics currently may have, and later may come into possession of, information regarding Apollomics that is not known to Subscriber and that may be material to a decision to enter into this transaction (“</w:t>
      </w:r>
      <w:r>
        <w:rPr>
          <w:rFonts w:ascii="Times New Roman" w:hAnsi="Times New Roman"/>
          <w:b/>
          <w:sz w:val="20"/>
          <w:u w:val="single"/>
        </w:rPr>
        <w:t>Excluded Information</w:t>
      </w:r>
      <w:r>
        <w:rPr>
          <w:rFonts w:ascii="Times New Roman" w:hAnsi="Times New Roman"/>
          <w:sz w:val="20"/>
        </w:rPr>
        <w:t xml:space="preserve">”), (B) Subscriber has determined to enter into this transaction notwithstanding its lack of knowledge of the Excluded Information, and (C) Apollomics shall not have liability to Subscriber, and Subscriber hereby to the extent permitted by law waives and releases any claims it may have against Apollomics with respect to the nondisclosure of the Excluded Information. </w:t>
      </w:r>
    </w:p>
    <w:p>
      <w:pPr>
        <w:pStyle w:val="TextBody"/>
        <w:bidi w:val="0"/>
        <w:spacing w:before="240" w:after="0"/>
        <w:jc w:val="left"/>
        <w:rPr>
          <w:rFonts w:ascii="Times New Roman" w:hAnsi="Times New Roman"/>
          <w:sz w:val="20"/>
        </w:rPr>
      </w:pPr>
      <w:r>
        <w:rPr>
          <w:rFonts w:ascii="Times New Roman" w:hAnsi="Times New Roman"/>
          <w:sz w:val="20"/>
        </w:rPr>
        <w:t>(k) Subscriber became aware of this offering of the Subscribed Shares solely by means of direct contact between Subscriber and Apollomics or one of its representatives or affiliates, or by means of contact from any placement agent engaged by Apollomics (each a “</w:t>
      </w:r>
      <w:r>
        <w:rPr>
          <w:rFonts w:ascii="Times New Roman" w:hAnsi="Times New Roman"/>
          <w:b/>
          <w:sz w:val="20"/>
          <w:u w:val="single"/>
        </w:rPr>
        <w:t>Placement Agent</w:t>
      </w:r>
      <w:r>
        <w:rPr>
          <w:rFonts w:ascii="Times New Roman" w:hAnsi="Times New Roman"/>
          <w:sz w:val="20"/>
        </w:rPr>
        <w:t>” and collectively, the “</w:t>
      </w:r>
      <w:r>
        <w:rPr>
          <w:rFonts w:ascii="Times New Roman" w:hAnsi="Times New Roman"/>
          <w:b/>
          <w:sz w:val="20"/>
          <w:u w:val="single"/>
        </w:rPr>
        <w:t>Placement Agents</w:t>
      </w:r>
      <w:r>
        <w:rPr>
          <w:rFonts w:ascii="Times New Roman" w:hAnsi="Times New Roman"/>
          <w:sz w:val="20"/>
        </w:rPr>
        <w:t xml:space="preserve">”), and the Subscribed Shares were offered to Subscriber solely by direct contact between Subscriber and the Apollomics (or its representative or affiliate) or the Placement Agents. Subscriber did not become aware of this offering of the Subscribed Shares, nor were the Subscribed Shares offered to Subscriber, by any other means. Subscriber acknowledges that the Subscribed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Subscriber acknowledges that it is aware that there are substantial risks incident to the purchase and ownership of the Subscribed Shares, including those set forth in Apollomics’ filings with the SEC.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Neither Apollomics nor any of its affiliates nor the Placement Agents have offered Subscriber any tax advice relating to Subscriber’s investment in the Subscribed Shares, or made any representations, warranties or guarantees regarding the tax consequences of Subscriber’s investment in the Subscribed Shares. </w:t>
      </w:r>
    </w:p>
    <w:p>
      <w:pPr>
        <w:pStyle w:val="TextBody"/>
        <w:bidi w:val="0"/>
        <w:spacing w:before="240" w:after="0"/>
        <w:jc w:val="left"/>
        <w:rPr>
          <w:rFonts w:ascii="Times New Roman" w:hAnsi="Times New Roman"/>
          <w:sz w:val="20"/>
        </w:rPr>
      </w:pPr>
      <w:r>
        <w:rPr>
          <w:rFonts w:ascii="Times New Roman" w:hAnsi="Times New Roman"/>
          <w:sz w:val="20"/>
        </w:rPr>
        <w:t xml:space="preserve">(m) Alone, or together with any professional advisors,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Apollomics. Subscriber acknowledges specifically that a possibility of total loss exists. </w:t>
      </w:r>
    </w:p>
    <w:p>
      <w:pPr>
        <w:pStyle w:val="TextBody"/>
        <w:bidi w:val="0"/>
        <w:spacing w:before="240" w:after="0"/>
        <w:jc w:val="left"/>
        <w:rPr>
          <w:rFonts w:ascii="Times New Roman" w:hAnsi="Times New Roman"/>
          <w:sz w:val="20"/>
        </w:rPr>
      </w:pPr>
      <w:r>
        <w:rPr>
          <w:rFonts w:ascii="Times New Roman" w:hAnsi="Times New Roman"/>
          <w:sz w:val="20"/>
        </w:rPr>
        <w:t xml:space="preserve">(n) Subscriber understands and agrees that no federal or state agency or any other government or Governmental Authority (whether foreign or domestic) has passed upon or endorsed the merits of the offering of the Subscribed Shares or made any findings or determination as to the fairness of this investment. </w:t>
      </w:r>
    </w:p>
    <w:p>
      <w:pPr>
        <w:pStyle w:val="TextBody"/>
        <w:bidi w:val="0"/>
        <w:spacing w:before="240" w:after="0"/>
        <w:jc w:val="left"/>
        <w:rPr>
          <w:rFonts w:ascii="Times New Roman" w:hAnsi="Times New Roman"/>
          <w:sz w:val="20"/>
        </w:rPr>
      </w:pPr>
      <w:r>
        <w:rPr>
          <w:rFonts w:ascii="Times New Roman" w:hAnsi="Times New Roman"/>
          <w:sz w:val="20"/>
        </w:rPr>
        <w:t>(o) Subscriber is not, and is not owned or controlled by or acting on behalf of (in connection with the transactions contemplated hereby), a Sanctioned Person. Subscriber is not a non-U.S. shell bank or providing banking services to a non-U.S. shell bank. Subscriber represents that if it is a financial institution subject to the Bank Secrecy Act (31 U.S.C. Section 5311 et seq.), as amended by the USA PATRIOT Act of 2001 and its implementing regulations (collectively, the “</w:t>
      </w:r>
      <w:r>
        <w:rPr>
          <w:rFonts w:ascii="Times New Roman" w:hAnsi="Times New Roman"/>
          <w:b/>
          <w:sz w:val="20"/>
          <w:u w:val="single"/>
        </w:rPr>
        <w:t>BSA/PATRIOT Act</w:t>
      </w:r>
      <w:r>
        <w:rPr>
          <w:rFonts w:ascii="Times New Roman" w:hAnsi="Times New Roman"/>
          <w:sz w:val="20"/>
        </w:rPr>
        <w:t>”), that Subscriber maintains policies and procedures reasonably designed to comply with applicable obligations under the BSA/PATRIOT Act. Subscriber also represents that, to the extent required by applicable law, it maintains, either directly or through the use of a third-party administrator, policies and procedures reasonably designed for the screening of any investors against Sanctions-related lists of blocked or restricted persons. Subscriber further represents and warrants that the funds held by Subscriber and used to purchase the Subscribed Shares are derived from lawful activities. For purposes of this Subscription Agreement, “</w:t>
      </w:r>
      <w:r>
        <w:rPr>
          <w:rFonts w:ascii="Times New Roman" w:hAnsi="Times New Roman"/>
          <w:b/>
          <w:sz w:val="20"/>
          <w:u w:val="single"/>
        </w:rPr>
        <w:t>Sanctioned Person</w:t>
      </w:r>
      <w:r>
        <w:rPr>
          <w:rFonts w:ascii="Times New Roman" w:hAnsi="Times New Roman"/>
          <w:sz w:val="20"/>
        </w:rPr>
        <w:t>” means at any time any person or entity: (i) listed on any Sanctions-related list of designated or blocked or restricted persons, (ii) that is a national of, the government of, or any agency or instrumentality of the government of, or resident in, or organized under the laws of, a country or territory that is the target of comprehensive Sanctions from time to time (as of the date of this Subscription Agreement, Cuba, Iran, North Korea, Syria, and the Crimea region) or (iii) owned or controlled by or acting on behalf of any of the foregoing. “</w:t>
      </w:r>
      <w:r>
        <w:rPr>
          <w:rFonts w:ascii="Times New Roman" w:hAnsi="Times New Roman"/>
          <w:b/>
          <w:sz w:val="20"/>
          <w:u w:val="single"/>
        </w:rPr>
        <w:t>Sanctions</w:t>
      </w:r>
      <w:r>
        <w:rPr>
          <w:rFonts w:ascii="Times New Roman" w:hAnsi="Times New Roman"/>
          <w:sz w:val="20"/>
        </w:rPr>
        <w:t xml:space="preserve">” means those trade, economic and financial sanctions laws, regulations, embargoes, and restrictive measures (in each case having the force of law) administered, enacted or enforced from time to time by (A) the United States (including without limitation the U.S. Department of the Treasury, Office of Foreign Assets Control, the U.S. Department of State, and the U.S. Department of Commerce), (B) the European Union and enforced by its member states, (C) the United Nations and (D) Her Majesty’s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Subscriber, together with its affiliates that will hold the Subscribed Shares, are not currently (and at all times through the Closing will refrain from being or becoming) members of a “group” (within the meaning of Section 13(d)(3) or Section 14(d)(2) of the Exchange Act or any successor provision) acting for the purpose of acquiring, holding, voting or disposing of equity securities of Apollomics (within the meaning of Rule 13d-5(b)(1)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(q) No foreign person (as defined in 31 C.F.R. Part 800.224) in which the national or subnational governments of a single foreign state have a substantial interest (as defined in 31 C.F.R. Part 800.244) will acquire a substantial interest in Apollomics as a result of the purchase and sale of Subscribed Shares hereunder such that a declaration to the Committee on Foreign Investment in the United States would be mandatory under 31 C.F.R. Part 800.401, and no foreign person will have control (as defined in 31 C.F.R. Part 800.208) over Apollomics from and after the Closing as a result of the purchase and sale of Subscribed Shares hereunder. </w:t>
      </w:r>
    </w:p>
    <w:p>
      <w:pPr>
        <w:pStyle w:val="TextBody"/>
        <w:bidi w:val="0"/>
        <w:spacing w:before="240" w:after="0"/>
        <w:jc w:val="left"/>
        <w:rPr>
          <w:rFonts w:ascii="Times New Roman" w:hAnsi="Times New Roman"/>
          <w:sz w:val="20"/>
        </w:rPr>
      </w:pPr>
      <w:r>
        <w:rPr>
          <w:rFonts w:ascii="Times New Roman" w:hAnsi="Times New Roman"/>
          <w:sz w:val="20"/>
        </w:rPr>
        <w:t>(r) If Subscriber is an employee benefit plan that is subject to Title I of the Employee Retirement Income Security Act of 1974, as amended (“</w:t>
      </w:r>
      <w:r>
        <w:rPr>
          <w:rFonts w:ascii="Times New Roman" w:hAnsi="Times New Roman"/>
          <w:b/>
          <w:sz w:val="20"/>
          <w:u w:val="single"/>
        </w:rPr>
        <w:t>ERISA</w:t>
      </w:r>
      <w:r>
        <w:rPr>
          <w:rFonts w:ascii="Times New Roman" w:hAnsi="Times New Roman"/>
          <w:sz w:val="20"/>
        </w:rPr>
        <w:t>”), a plan, an individual retirement account or other arrangement that is subject to section 4975 of the Internal Revenue Code of 1986, as amended (the “</w:t>
      </w:r>
      <w:r>
        <w:rPr>
          <w:rFonts w:ascii="Times New Roman" w:hAnsi="Times New Roman"/>
          <w:b/>
          <w:sz w:val="20"/>
          <w:u w:val="single"/>
        </w:rPr>
        <w:t>Code</w:t>
      </w:r>
      <w:r>
        <w:rPr>
          <w:rFonts w:ascii="Times New Roman" w:hAnsi="Times New Roman"/>
          <w:sz w:val="20"/>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 w:hAnsi="Times New Roman"/>
          <w:b/>
          <w:sz w:val="20"/>
          <w:u w:val="single"/>
        </w:rPr>
        <w:t>Plan</w:t>
      </w:r>
      <w:r>
        <w:rPr>
          <w:rFonts w:ascii="Times New Roman" w:hAnsi="Times New Roman"/>
          <w:sz w:val="20"/>
        </w:rPr>
        <w:t>”) subject to the fiduciary or prohibited transaction provisions of ERISA or section 4975 of the Code, Subscriber represents and warrants that (i) neither Apollomics, nor any of its respective affiliates (the “</w:t>
      </w:r>
      <w:r>
        <w:rPr>
          <w:rFonts w:ascii="Times New Roman" w:hAnsi="Times New Roman"/>
          <w:b/>
          <w:sz w:val="20"/>
          <w:u w:val="single"/>
        </w:rPr>
        <w:t>Transaction Parties</w:t>
      </w:r>
      <w:r>
        <w:rPr>
          <w:rFonts w:ascii="Times New Roman" w:hAnsi="Times New Roman"/>
          <w:sz w:val="20"/>
        </w:rPr>
        <w:t xml:space="preserve">”)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(ii) the acquisition and holding of the Subscribed Shares will not result in a non-exempt prohibited transaction under ERISA or Section 4975 of the Code. </w:t>
      </w:r>
    </w:p>
    <w:p>
      <w:pPr>
        <w:pStyle w:val="TextBody"/>
        <w:bidi w:val="0"/>
        <w:spacing w:before="240" w:after="0"/>
        <w:jc w:val="left"/>
        <w:rPr>
          <w:rFonts w:ascii="Times New Roman" w:hAnsi="Times New Roman"/>
          <w:sz w:val="20"/>
        </w:rPr>
      </w:pPr>
      <w:r>
        <w:rPr>
          <w:rFonts w:ascii="Times New Roman" w:hAnsi="Times New Roman"/>
          <w:sz w:val="20"/>
        </w:rPr>
        <w:t xml:space="preserve">(s) Subscriber has or has commitments to have, and, when required to deliver payment to Apollomics pursuant to </w:t>
      </w:r>
      <w:r>
        <w:rPr>
          <w:rFonts w:ascii="Times New Roman" w:hAnsi="Times New Roman"/>
          <w:sz w:val="20"/>
          <w:u w:val="single"/>
        </w:rPr>
        <w:t>Section 2</w:t>
      </w:r>
      <w:r>
        <w:rPr>
          <w:rFonts w:ascii="Times New Roman" w:hAnsi="Times New Roman"/>
          <w:sz w:val="20"/>
        </w:rPr>
        <w:t xml:space="preserve"> above, will have, sufficient funds to pay the Purchase Price and to consummate the purchase of the Subscribed Shares when required pursuant to this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 At all times at or prior to the Closing, Subscriber has no binding commitment to dispose of, or otherwise transfer (directly or indirectly), any of the Subscribed Shares. </w:t>
      </w:r>
    </w:p>
    <w:p>
      <w:pPr>
        <w:pStyle w:val="TextBody"/>
        <w:bidi w:val="0"/>
        <w:spacing w:before="240" w:after="0"/>
        <w:jc w:val="left"/>
        <w:rPr>
          <w:rFonts w:ascii="Times New Roman" w:hAnsi="Times New Roman"/>
          <w:sz w:val="20"/>
        </w:rPr>
      </w:pPr>
      <w:r>
        <w:rPr>
          <w:rFonts w:ascii="Times New Roman" w:hAnsi="Times New Roman"/>
          <w:sz w:val="20"/>
        </w:rPr>
        <w:t xml:space="preserve">(u) Subscriber acknowledges its obligations under applicable securities laws with respect to the treatment of non-public information relating to Apollomics. </w:t>
      </w:r>
    </w:p>
    <w:p>
      <w:pPr>
        <w:pStyle w:val="TextBody"/>
        <w:bidi w:val="0"/>
        <w:spacing w:before="240" w:after="0"/>
        <w:jc w:val="left"/>
        <w:rPr>
          <w:rFonts w:ascii="Times New Roman" w:hAnsi="Times New Roman"/>
          <w:sz w:val="20"/>
        </w:rPr>
      </w:pPr>
      <w:r>
        <w:rPr>
          <w:rFonts w:ascii="Times New Roman" w:hAnsi="Times New Roman"/>
          <w:sz w:val="20"/>
        </w:rPr>
        <w:t xml:space="preserve">(v) Subscriber has no present intent to effect a “change of control” of Apollomics as such term is understood under the rules promulgated pursuant to Section 13(d) of the Exchange Act and under the rules of the Stock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Termination</w:t>
      </w:r>
      <w:r>
        <w:rPr>
          <w:rFonts w:ascii="Times New Roman" w:hAnsi="Times New Roman"/>
          <w:sz w:val="20"/>
        </w:rPr>
        <w:t xml:space="preserve">. Except for </w:t>
      </w:r>
      <w:r>
        <w:rPr>
          <w:rFonts w:ascii="Times New Roman" w:hAnsi="Times New Roman"/>
          <w:sz w:val="20"/>
          <w:u w:val="single"/>
        </w:rPr>
        <w:t xml:space="preserve">Section 6 </w:t>
      </w:r>
      <w:r>
        <w:rPr>
          <w:rFonts w:ascii="Times New Roman" w:hAnsi="Times New Roman"/>
          <w:sz w:val="20"/>
        </w:rPr>
        <w:t xml:space="preserve">and </w:t>
      </w:r>
      <w:r>
        <w:rPr>
          <w:rFonts w:ascii="Times New Roman" w:hAnsi="Times New Roman"/>
          <w:sz w:val="20"/>
          <w:u w:val="single"/>
        </w:rPr>
        <w:t>7</w:t>
      </w:r>
      <w:r>
        <w:rPr>
          <w:rFonts w:ascii="Times New Roman" w:hAnsi="Times New Roman"/>
          <w:sz w:val="20"/>
        </w:rPr>
        <w:t xml:space="preserve">, which shall survive any termination of this Subscription Agreement, unless otherwise stipulated hereunder, this Subscription Agreement shall terminate and be void and of no further force and effect, and all rights and obligations of the parties hereunder shall terminate without any further liability on the part of any party in respect thereof, upon the mutual written agreement of the parties hereto to terminate this Subscription Agreement; </w:t>
      </w:r>
      <w:r>
        <w:rPr>
          <w:rFonts w:ascii="Times New Roman" w:hAnsi="Times New Roman"/>
          <w:i/>
          <w:sz w:val="20"/>
        </w:rPr>
        <w:t>provided</w:t>
      </w:r>
      <w:r>
        <w:rPr>
          <w:rFonts w:ascii="Times New Roman" w:hAnsi="Times New Roman"/>
          <w:sz w:val="20"/>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Indemnity</w:t>
      </w:r>
      <w:r>
        <w:rPr>
          <w:rFonts w:ascii="Times New Roman" w:hAnsi="Times New Roman"/>
          <w:sz w:val="20"/>
        </w:rPr>
        <w:t xml:space="preserve">. The Subscriber agrees to indemnify and hold harmless the Company and its affiliates, officers, member, managers, partners, agents and attorneys (the “Indemnified Parties”) from any and all claims, actions, causes of action, judgments, damages, losses or costs (including, without limitation, reasonable attorneys’ fees incurred in connection therewith or in defense thereof) of any nature whatsoever arising from, related to, or incurred as a result of the breach, or alleged breach, of any representation or warranty contained in Section 4 of this Agreement. The Subscriber further agrees to indemnify, defend and hold harmless the Indemnified Parties from and against all damages, losses, costs and expenses (including reasonable attorneys’ fees) which they may incur from the disposition of the Subscribed Shares, or any interest therein, in violation of the provisions of Section 4 or Section 7(e) or (f).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notices, requests, demands, claims, and other communications hereunder shall be in writing and be deemed to have been duly given (i) when delivered in person, (ii) three Business Days after being sent, if sent by registered or certified mail return receipt requested, postage prepaid, (iii) one Business Day after being sent, if sent by FedEx or other nationally recognized overnight delivery service, or (iv) when delivered by email with electronic confirmation of delivery, in each case, addressed to the intended recipient at its address specified on the signature page hereof or to such electronic mail address or address as subsequently modified by written notice given in accordance with this </w:t>
      </w:r>
      <w:r>
        <w:rPr>
          <w:rFonts w:ascii="Times New Roman" w:hAnsi="Times New Roman"/>
          <w:sz w:val="20"/>
          <w:u w:val="single"/>
        </w:rPr>
        <w:t>Section 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Subscriber acknowledges that Apollomics and others have relied and will rely on the acknowledgments, understandings, agreements, representations and warranties of Subscriber contained in this Subscription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foregoing clause of this </w:t>
      </w:r>
      <w:r>
        <w:rPr>
          <w:rFonts w:ascii="Times New Roman" w:hAnsi="Times New Roman"/>
          <w:sz w:val="20"/>
          <w:u w:val="single"/>
        </w:rPr>
        <w:t>Section 7(b)</w:t>
      </w:r>
      <w:r>
        <w:rPr>
          <w:rFonts w:ascii="Times New Roman" w:hAnsi="Times New Roman"/>
          <w:sz w:val="20"/>
        </w:rPr>
        <w:t xml:space="preserve"> shall not give Apollomics or any third party any rights other than as expressly set forth herein. Prior to the Closing, Subscriber agrees to promptly notify Apollomics if it becomes aware that any of the acknowledgments, understandings, agreements, representations and warranties of Subscriber set forth herein are no longer accurate in all material respects. Subscriber acknowledges and agrees that the purchase by Subscriber of Subscribed Shares from Apollomics will constitute a reaffirmation of the acknowledgments, understandings, agreements, representations and warranties herein by Subscriber as of the Closing. Apollomics acknowledges that Subscriber will rely on the acknowledgments, understandings, agreements, representations and warranties of Apollomics contained in this Subscription Agreement. Prior to the Closing, Apollomics agrees to promptly notify Subscriber if it becomes aware that any of the acknowledgments, understandings, agreements, representations and warranties of Apollomics set forth herein are no longer accurate in all material respects.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Apollomics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w:t>
      </w:r>
    </w:p>
    <w:p>
      <w:pPr>
        <w:pStyle w:val="TextBody"/>
        <w:bidi w:val="0"/>
        <w:spacing w:before="240" w:after="0"/>
        <w:jc w:val="left"/>
        <w:rPr>
          <w:rFonts w:ascii="Times New Roman" w:hAnsi="Times New Roman"/>
          <w:sz w:val="20"/>
        </w:rPr>
      </w:pPr>
      <w:r>
        <w:rPr>
          <w:rFonts w:ascii="Times New Roman" w:hAnsi="Times New Roman"/>
          <w:sz w:val="20"/>
        </w:rPr>
        <w:t xml:space="preserve">(d) Subscriber shall pay all of its own expenses in connection with this Subscription Agreement and the transactions contemplated herein. </w:t>
      </w:r>
    </w:p>
    <w:p>
      <w:pPr>
        <w:pStyle w:val="TextBody"/>
        <w:bidi w:val="0"/>
        <w:spacing w:before="240" w:after="0"/>
        <w:jc w:val="left"/>
        <w:rPr>
          <w:rFonts w:ascii="Times New Roman" w:hAnsi="Times New Roman"/>
          <w:sz w:val="20"/>
        </w:rPr>
      </w:pPr>
      <w:r>
        <w:rPr>
          <w:rFonts w:ascii="Times New Roman" w:hAnsi="Times New Roman"/>
          <w:sz w:val="20"/>
        </w:rPr>
        <w:t xml:space="preserve">(e) Subscriber hereby acknowledges and agrees that it will not, nor will any person acting at Subscriber’s direction or pursuant to any understanding with Subscriber, directly or indirectly offer, sell, pledge, contract to sell, sell any option, engage in hedging activities or execute any “short sales” as defined in Rule 200 of Regulation SHO under the Exchange Act, of the Subscribed Shares until the consummation of the Closing (or the earlier termination of this Subscription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(f) Neither this Subscription Agreement nor any rights that may accrue to Subscriber hereunder (other than the Subscribed Shares acquired hereunder, if any) may be transferred or assigned. Neither this Subscription Agreement nor any rights that may accrue to Apollomics hereunder may be transferred or assigned. </w:t>
      </w:r>
    </w:p>
    <w:p>
      <w:pPr>
        <w:pStyle w:val="TextBody"/>
        <w:bidi w:val="0"/>
        <w:spacing w:before="240" w:after="0"/>
        <w:jc w:val="left"/>
        <w:rPr>
          <w:rFonts w:ascii="Times New Roman" w:hAnsi="Times New Roman"/>
          <w:sz w:val="20"/>
        </w:rPr>
      </w:pPr>
      <w:r>
        <w:rPr>
          <w:rFonts w:ascii="Times New Roman" w:hAnsi="Times New Roman"/>
          <w:sz w:val="20"/>
        </w:rPr>
        <w:t xml:space="preserve">(g) All the agreements, representations and warranties made by each party hereto in this Subscription Agreement shall survive the Closing. </w:t>
      </w:r>
    </w:p>
    <w:p>
      <w:pPr>
        <w:pStyle w:val="TextBody"/>
        <w:bidi w:val="0"/>
        <w:spacing w:before="240" w:after="0"/>
        <w:jc w:val="left"/>
        <w:rPr>
          <w:rFonts w:ascii="Times New Roman" w:hAnsi="Times New Roman"/>
          <w:sz w:val="20"/>
        </w:rPr>
      </w:pPr>
      <w:r>
        <w:rPr>
          <w:rFonts w:ascii="Times New Roman" w:hAnsi="Times New Roman"/>
          <w:sz w:val="20"/>
        </w:rPr>
        <w:t xml:space="preserve">(h) Apollomics may request from Subscriber such additional information as Apollomics may reasonably deem necessary to evaluate the eligibility of Subscriber to acquire the Subscribed Shares, and Subscriber shall provide such information as may be reasonably requested. Subscriber acknowledges that Apollomics may file a copy of the form of this Subscription Agreement with the SEC as an exhibit to a report of Apollomics or a registration statement of Apollomics. </w:t>
      </w:r>
    </w:p>
    <w:p>
      <w:pPr>
        <w:pStyle w:val="TextBody"/>
        <w:bidi w:val="0"/>
        <w:spacing w:before="240" w:after="0"/>
        <w:jc w:val="left"/>
        <w:rPr>
          <w:rFonts w:ascii="Times New Roman" w:hAnsi="Times New Roman"/>
          <w:sz w:val="20"/>
        </w:rPr>
      </w:pPr>
      <w:r>
        <w:rPr>
          <w:rFonts w:ascii="Times New Roman" w:hAnsi="Times New Roman"/>
          <w:sz w:val="20"/>
        </w:rPr>
        <w:t xml:space="preserve">(i) This Subscription Agreement may not be amended, modified or waived except by an instrument in writing,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(j) This Subscription Agreement constitutes the entire agreement between the parties hereto, and supersedes all other prior agreements, understandings, representations and warranties, both written and oral, between the parties hereto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(k) Except as otherwise provided herein, this Subscription Agreement shall be binding upon, and inure to the benefit of the parties hereto and their heirs, executors, administrators, successors, legal representatives, and permitted assigns and is not for the benefit of, nor may any provision hereof be enforced by, any other person. Each of the parties hereto acknowledge and agree that each of the parties hereto shall be entitled to seek and obtain equitable relief, without proof of actual damages, including an injunction or injunctions or order for specific performance to prevent breaches of this Subscription Agreement and to enforce specifically the terms and provisions of this Subscription Agreement to cause Apollomics to cause, or directly cause, Subscriber to fund the Purchase Price and cause the Closing to occur on the Subscription Closing Date. Each party hereto further agrees that none of the parties hereto shall be required to obtain, furnish, or post any bond or similar instrument in connection with or as a condition to obtaining any remedy referred to in this </w:t>
      </w:r>
      <w:r>
        <w:rPr>
          <w:rFonts w:ascii="Times New Roman" w:hAnsi="Times New Roman"/>
          <w:sz w:val="20"/>
          <w:u w:val="single"/>
        </w:rPr>
        <w:t>Section 7(k)</w:t>
      </w:r>
      <w:r>
        <w:rPr>
          <w:rFonts w:ascii="Times New Roman" w:hAnsi="Times New Roman"/>
          <w:sz w:val="20"/>
        </w:rPr>
        <w:t xml:space="preserve">, and each party hereto irrevocably waives any right it may have to require the obtaining, furnishing, or posting of any such bond of similar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parties hereto acknowledge and agree that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Apollomics shall be entitled to specifically enforce Subscriber’s obligations to fund the Purchase Price set forth on the signature page hereto and the provisions of the Subscription Agreement, in each case, on the terms and subject to the conditions set forth herein. The parties hereto further acknowledge and agree: (i) to waive any requirement for the security or posting of any bond in connection with any such equitable remedy; (ii) not to assert that a remedy of specific enforcement pursuant to this </w:t>
      </w:r>
      <w:r>
        <w:rPr>
          <w:rFonts w:ascii="Times New Roman" w:hAnsi="Times New Roman"/>
          <w:sz w:val="20"/>
          <w:u w:val="single"/>
        </w:rPr>
        <w:t>Section 7(l)</w:t>
      </w:r>
      <w:r>
        <w:rPr>
          <w:rFonts w:ascii="Times New Roman" w:hAnsi="Times New Roman"/>
          <w:sz w:val="20"/>
        </w:rPr>
        <w:t xml:space="preserve"> is unenforceable, invalid, contrary to applicable Law or inequitable for any reason; and (iii) to waive any defenses in any action for specific performance, including the defense that a remedy at Law would be adequate. In connection with any proceeding for which Apollomics is being granted an award of money damages, the Subscriber agrees that such damages, to the extent payable by such party, shall include, without limitation, damages related to the consideration that is or was to be paid to Apollomics under this Subscription Agreement, and such damages are not limited to an award of out-of-pocket fees and expenses related to this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(m) 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costs and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costs and attorneys’ fees reasonably incurred by the prevailing party in connection with the adjudication and the enforcement of its rights under this Subscription Agreement or any other agreement, document, instrument or certificate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(n)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(o)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 </w:t>
      </w:r>
    </w:p>
    <w:p>
      <w:pPr>
        <w:pStyle w:val="TextBody"/>
        <w:bidi w:val="0"/>
        <w:spacing w:before="240" w:after="0"/>
        <w:jc w:val="left"/>
        <w:rPr>
          <w:rFonts w:ascii="Times New Roman" w:hAnsi="Times New Roman"/>
          <w:sz w:val="20"/>
        </w:rPr>
      </w:pPr>
      <w:r>
        <w:rPr>
          <w:rFonts w:ascii="Times New Roman" w:hAnsi="Times New Roman"/>
          <w:sz w:val="20"/>
        </w:rPr>
        <w:t xml:space="preserve">(p) This Subscription Agreement may be executed and delivered in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(q)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California, without regard to the principles of conflicts of laws that would otherwise require the application of the law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b/>
          <w:sz w:val="20"/>
        </w:rPr>
        <w:t>EACH PARTY AND ANY PERSON ASSERTING RIGHTS AS A THIRD PARTY BENEFICIARY HEREBY WAIVES ITS RESPECTIVE RIGHTS TO A TRIAL BY JURY OF ANY CLAIM OR CAUSE OF ACTION BASED UPON OR ARISING OUT OR RELATED TO THIS SUBSCRIPTION AGREEMENT OR THE TRANSACTIONS CONTEMPLATED HEREBY IN ANY ACTION, PROCEEDING OR OTHER LITIGATION</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ANY</w:t>
      </w:r>
      <w:r>
        <w:rPr>
          <w:rFonts w:ascii="Times New Roman" w:hAnsi="Times New Roman"/>
          <w:sz w:val="20"/>
        </w:rPr>
        <w:t xml:space="preserve"> </w:t>
      </w:r>
      <w:r>
        <w:rPr>
          <w:rFonts w:ascii="Times New Roman" w:hAnsi="Times New Roman"/>
          <w:b/>
          <w:sz w:val="20"/>
        </w:rPr>
        <w:t>TYPE,</w:t>
      </w:r>
      <w:r>
        <w:rPr>
          <w:rFonts w:ascii="Times New Roman" w:hAnsi="Times New Roman"/>
          <w:sz w:val="20"/>
        </w:rPr>
        <w:t xml:space="preserve"> </w:t>
      </w:r>
      <w:r>
        <w:rPr>
          <w:rFonts w:ascii="Times New Roman" w:hAnsi="Times New Roman"/>
          <w:b/>
          <w:sz w:val="20"/>
        </w:rPr>
        <w:t>WHETHER</w:t>
      </w:r>
      <w:r>
        <w:rPr>
          <w:rFonts w:ascii="Times New Roman" w:hAnsi="Times New Roman"/>
          <w:sz w:val="20"/>
        </w:rPr>
        <w:t xml:space="preserve"> </w:t>
      </w:r>
      <w:r>
        <w:rPr>
          <w:rFonts w:ascii="Times New Roman" w:hAnsi="Times New Roman"/>
          <w:b/>
          <w:sz w:val="20"/>
        </w:rPr>
        <w:t>WITH</w:t>
      </w:r>
      <w:r>
        <w:rPr>
          <w:rFonts w:ascii="Times New Roman" w:hAnsi="Times New Roman"/>
          <w:sz w:val="20"/>
        </w:rPr>
        <w:t xml:space="preserve"> </w:t>
      </w:r>
      <w:r>
        <w:rPr>
          <w:rFonts w:ascii="Times New Roman" w:hAnsi="Times New Roman"/>
          <w:b/>
          <w:sz w:val="20"/>
        </w:rPr>
        <w:t>RESPECT</w:t>
      </w:r>
      <w:r>
        <w:rPr>
          <w:rFonts w:ascii="Times New Roman" w:hAnsi="Times New Roman"/>
          <w:sz w:val="20"/>
        </w:rPr>
        <w:t xml:space="preserve"> </w:t>
      </w:r>
      <w:r>
        <w:rPr>
          <w:rFonts w:ascii="Times New Roman" w:hAnsi="Times New Roman"/>
          <w:b/>
          <w:sz w:val="20"/>
        </w:rPr>
        <w:t>TO</w:t>
      </w:r>
      <w:r>
        <w:rPr>
          <w:rFonts w:ascii="Times New Roman" w:hAnsi="Times New Roman"/>
          <w:sz w:val="20"/>
        </w:rPr>
        <w:t xml:space="preserve"> </w:t>
      </w:r>
      <w:r>
        <w:rPr>
          <w:rFonts w:ascii="Times New Roman" w:hAnsi="Times New Roman"/>
          <w:b/>
          <w:sz w:val="20"/>
        </w:rPr>
        <w:t>CONTRACT</w:t>
      </w:r>
      <w:r>
        <w:rPr>
          <w:rFonts w:ascii="Times New Roman" w:hAnsi="Times New Roman"/>
          <w:sz w:val="20"/>
        </w:rPr>
        <w:t xml:space="preserve"> </w:t>
      </w:r>
      <w:r>
        <w:rPr>
          <w:rFonts w:ascii="Times New Roman" w:hAnsi="Times New Roman"/>
          <w:b/>
          <w:sz w:val="20"/>
        </w:rPr>
        <w:t>CLAIMS, TORT CLAIMS OR OTHERWISE. THE PARTIES AGREE THAT ANY SUCH CLAIM OR</w:t>
      </w:r>
      <w:r>
        <w:rPr>
          <w:rFonts w:ascii="Times New Roman" w:hAnsi="Times New Roman"/>
          <w:sz w:val="20"/>
        </w:rPr>
        <w:t xml:space="preserve"> </w:t>
      </w:r>
      <w:r>
        <w:rPr>
          <w:rFonts w:ascii="Times New Roman" w:hAnsi="Times New Roman"/>
          <w:b/>
          <w:sz w:val="20"/>
        </w:rPr>
        <w:t>CAUSE</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ACTION</w:t>
      </w:r>
      <w:r>
        <w:rPr>
          <w:rFonts w:ascii="Times New Roman" w:hAnsi="Times New Roman"/>
          <w:sz w:val="20"/>
        </w:rPr>
        <w:t xml:space="preserve"> </w:t>
      </w:r>
      <w:r>
        <w:rPr>
          <w:rFonts w:ascii="Times New Roman" w:hAnsi="Times New Roman"/>
          <w:b/>
          <w:sz w:val="20"/>
        </w:rPr>
        <w:t>SHALL</w:t>
      </w:r>
      <w:r>
        <w:rPr>
          <w:rFonts w:ascii="Times New Roman" w:hAnsi="Times New Roman"/>
          <w:sz w:val="20"/>
        </w:rPr>
        <w:t xml:space="preserve"> </w:t>
      </w:r>
      <w:r>
        <w:rPr>
          <w:rFonts w:ascii="Times New Roman" w:hAnsi="Times New Roman"/>
          <w:b/>
          <w:sz w:val="20"/>
        </w:rPr>
        <w:t>BE</w:t>
      </w:r>
      <w:r>
        <w:rPr>
          <w:rFonts w:ascii="Times New Roman" w:hAnsi="Times New Roman"/>
          <w:sz w:val="20"/>
        </w:rPr>
        <w:t xml:space="preserve"> </w:t>
      </w:r>
      <w:r>
        <w:rPr>
          <w:rFonts w:ascii="Times New Roman" w:hAnsi="Times New Roman"/>
          <w:b/>
          <w:sz w:val="20"/>
        </w:rPr>
        <w:t>TRIED</w:t>
      </w:r>
      <w:r>
        <w:rPr>
          <w:rFonts w:ascii="Times New Roman" w:hAnsi="Times New Roman"/>
          <w:sz w:val="20"/>
        </w:rPr>
        <w:t xml:space="preserve"> </w:t>
      </w:r>
      <w:r>
        <w:rPr>
          <w:rFonts w:ascii="Times New Roman" w:hAnsi="Times New Roman"/>
          <w:b/>
          <w:sz w:val="20"/>
        </w:rPr>
        <w:t>BY</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w:t>
      </w:r>
      <w:r>
        <w:rPr>
          <w:rFonts w:ascii="Times New Roman" w:hAnsi="Times New Roman"/>
          <w:b/>
          <w:sz w:val="20"/>
        </w:rPr>
        <w:t>COURT</w:t>
      </w:r>
      <w:r>
        <w:rPr>
          <w:rFonts w:ascii="Times New Roman" w:hAnsi="Times New Roman"/>
          <w:sz w:val="20"/>
        </w:rPr>
        <w:t xml:space="preserve"> </w:t>
      </w:r>
      <w:r>
        <w:rPr>
          <w:rFonts w:ascii="Times New Roman" w:hAnsi="Times New Roman"/>
          <w:b/>
          <w:sz w:val="20"/>
        </w:rPr>
        <w:t>TRIAL WITHOUT</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w:t>
      </w:r>
      <w:r>
        <w:rPr>
          <w:rFonts w:ascii="Times New Roman" w:hAnsi="Times New Roman"/>
          <w:b/>
          <w:sz w:val="20"/>
        </w:rPr>
        <w:t>JURY. WITHOUT LIMITING THE FOREGOING, THE PARTIES FURTHER AGREE THAT THEIR</w:t>
      </w:r>
      <w:r>
        <w:rPr>
          <w:rFonts w:ascii="Times New Roman" w:hAnsi="Times New Roman"/>
          <w:sz w:val="20"/>
        </w:rPr>
        <w:t xml:space="preserve"> </w:t>
      </w:r>
      <w:r>
        <w:rPr>
          <w:rFonts w:ascii="Times New Roman" w:hAnsi="Times New Roman"/>
          <w:b/>
          <w:sz w:val="20"/>
        </w:rPr>
        <w:t>RESPECTIVE</w:t>
      </w:r>
      <w:r>
        <w:rPr>
          <w:rFonts w:ascii="Times New Roman" w:hAnsi="Times New Roman"/>
          <w:sz w:val="20"/>
        </w:rPr>
        <w:t xml:space="preserve"> </w:t>
      </w:r>
      <w:r>
        <w:rPr>
          <w:rFonts w:ascii="Times New Roman" w:hAnsi="Times New Roman"/>
          <w:b/>
          <w:sz w:val="20"/>
        </w:rPr>
        <w:t>RIGHT</w:t>
      </w:r>
      <w:r>
        <w:rPr>
          <w:rFonts w:ascii="Times New Roman" w:hAnsi="Times New Roman"/>
          <w:sz w:val="20"/>
        </w:rPr>
        <w:t xml:space="preserve"> </w:t>
      </w:r>
      <w:r>
        <w:rPr>
          <w:rFonts w:ascii="Times New Roman" w:hAnsi="Times New Roman"/>
          <w:b/>
          <w:sz w:val="20"/>
        </w:rPr>
        <w:t>TO</w:t>
      </w:r>
      <w:r>
        <w:rPr>
          <w:rFonts w:ascii="Times New Roman" w:hAnsi="Times New Roman"/>
          <w:sz w:val="20"/>
        </w:rPr>
        <w:t xml:space="preserve"> </w:t>
      </w:r>
      <w:r>
        <w:rPr>
          <w:rFonts w:ascii="Times New Roman" w:hAnsi="Times New Roman"/>
          <w:b/>
          <w:sz w:val="20"/>
        </w:rPr>
        <w:t>A</w:t>
      </w:r>
      <w:r>
        <w:rPr>
          <w:rFonts w:ascii="Times New Roman" w:hAnsi="Times New Roman"/>
          <w:sz w:val="20"/>
        </w:rPr>
        <w:t xml:space="preserve"> </w:t>
      </w:r>
      <w:r>
        <w:rPr>
          <w:rFonts w:ascii="Times New Roman" w:hAnsi="Times New Roman"/>
          <w:b/>
          <w:sz w:val="20"/>
        </w:rPr>
        <w:t>TRIAL</w:t>
      </w:r>
      <w:r>
        <w:rPr>
          <w:rFonts w:ascii="Times New Roman" w:hAnsi="Times New Roman"/>
          <w:sz w:val="20"/>
        </w:rPr>
        <w:t xml:space="preserve"> </w:t>
      </w:r>
      <w:r>
        <w:rPr>
          <w:rFonts w:ascii="Times New Roman" w:hAnsi="Times New Roman"/>
          <w:b/>
          <w:sz w:val="20"/>
        </w:rPr>
        <w:t>BY</w:t>
      </w:r>
      <w:r>
        <w:rPr>
          <w:rFonts w:ascii="Times New Roman" w:hAnsi="Times New Roman"/>
          <w:sz w:val="20"/>
        </w:rPr>
        <w:t xml:space="preserve"> </w:t>
      </w:r>
      <w:r>
        <w:rPr>
          <w:rFonts w:ascii="Times New Roman" w:hAnsi="Times New Roman"/>
          <w:b/>
          <w:sz w:val="20"/>
        </w:rPr>
        <w:t>JURY</w:t>
      </w:r>
      <w:r>
        <w:rPr>
          <w:rFonts w:ascii="Times New Roman" w:hAnsi="Times New Roman"/>
          <w:sz w:val="20"/>
        </w:rPr>
        <w:t xml:space="preserve"> </w:t>
      </w:r>
      <w:r>
        <w:rPr>
          <w:rFonts w:ascii="Times New Roman" w:hAnsi="Times New Roman"/>
          <w:b/>
          <w:sz w:val="20"/>
        </w:rPr>
        <w:t>IS</w:t>
      </w:r>
      <w:r>
        <w:rPr>
          <w:rFonts w:ascii="Times New Roman" w:hAnsi="Times New Roman"/>
          <w:sz w:val="20"/>
        </w:rPr>
        <w:t xml:space="preserve"> </w:t>
      </w:r>
      <w:r>
        <w:rPr>
          <w:rFonts w:ascii="Times New Roman" w:hAnsi="Times New Roman"/>
          <w:b/>
          <w:sz w:val="20"/>
        </w:rPr>
        <w:t>WAIVED</w:t>
      </w:r>
      <w:r>
        <w:rPr>
          <w:rFonts w:ascii="Times New Roman" w:hAnsi="Times New Roman"/>
          <w:sz w:val="20"/>
        </w:rPr>
        <w:t xml:space="preserve"> </w:t>
      </w:r>
      <w:r>
        <w:rPr>
          <w:rFonts w:ascii="Times New Roman" w:hAnsi="Times New Roman"/>
          <w:b/>
          <w:sz w:val="20"/>
        </w:rPr>
        <w:t>BY</w:t>
      </w:r>
      <w:r>
        <w:rPr>
          <w:rFonts w:ascii="Times New Roman" w:hAnsi="Times New Roman"/>
          <w:sz w:val="20"/>
        </w:rPr>
        <w:t xml:space="preserve"> </w:t>
      </w:r>
      <w:r>
        <w:rPr>
          <w:rFonts w:ascii="Times New Roman" w:hAnsi="Times New Roman"/>
          <w:b/>
          <w:sz w:val="20"/>
        </w:rPr>
        <w:t>OPERATION</w:t>
      </w:r>
      <w:r>
        <w:rPr>
          <w:rFonts w:ascii="Times New Roman" w:hAnsi="Times New Roman"/>
          <w:sz w:val="20"/>
        </w:rPr>
        <w:t xml:space="preserve"> </w:t>
      </w:r>
      <w:r>
        <w:rPr>
          <w:rFonts w:ascii="Times New Roman" w:hAnsi="Times New Roman"/>
          <w:b/>
          <w:sz w:val="20"/>
        </w:rPr>
        <w:t>OF THIS</w:t>
      </w:r>
      <w:r>
        <w:rPr>
          <w:rFonts w:ascii="Times New Roman" w:hAnsi="Times New Roman"/>
          <w:sz w:val="20"/>
        </w:rPr>
        <w:t xml:space="preserve">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7(r)</w:t>
      </w:r>
      <w:r>
        <w:rPr>
          <w:rFonts w:ascii="Times New Roman" w:hAnsi="Times New Roman"/>
          <w:sz w:val="20"/>
        </w:rPr>
        <w:t xml:space="preserve"> </w:t>
      </w:r>
      <w:r>
        <w:rPr>
          <w:rFonts w:ascii="Times New Roman" w:hAnsi="Times New Roman"/>
          <w:b/>
          <w:sz w:val="20"/>
        </w:rPr>
        <w:t>AS</w:t>
      </w:r>
      <w:r>
        <w:rPr>
          <w:rFonts w:ascii="Times New Roman" w:hAnsi="Times New Roman"/>
          <w:sz w:val="20"/>
        </w:rPr>
        <w:t xml:space="preserve"> </w:t>
      </w:r>
      <w:r>
        <w:rPr>
          <w:rFonts w:ascii="Times New Roman" w:hAnsi="Times New Roman"/>
          <w:b/>
          <w:sz w:val="20"/>
        </w:rPr>
        <w:t>TO</w:t>
      </w:r>
      <w:r>
        <w:rPr>
          <w:rFonts w:ascii="Times New Roman" w:hAnsi="Times New Roman"/>
          <w:sz w:val="20"/>
        </w:rPr>
        <w:t xml:space="preserve"> </w:t>
      </w:r>
      <w:r>
        <w:rPr>
          <w:rFonts w:ascii="Times New Roman" w:hAnsi="Times New Roman"/>
          <w:b/>
          <w:sz w:val="20"/>
        </w:rPr>
        <w:t>ANY</w:t>
      </w:r>
      <w:r>
        <w:rPr>
          <w:rFonts w:ascii="Times New Roman" w:hAnsi="Times New Roman"/>
          <w:sz w:val="20"/>
        </w:rPr>
        <w:t xml:space="preserve"> </w:t>
      </w:r>
      <w:r>
        <w:rPr>
          <w:rFonts w:ascii="Times New Roman" w:hAnsi="Times New Roman"/>
          <w:b/>
          <w:sz w:val="20"/>
        </w:rPr>
        <w:t>ACTION,</w:t>
      </w:r>
      <w:r>
        <w:rPr>
          <w:rFonts w:ascii="Times New Roman" w:hAnsi="Times New Roman"/>
          <w:sz w:val="20"/>
        </w:rPr>
        <w:t xml:space="preserve"> </w:t>
      </w:r>
      <w:r>
        <w:rPr>
          <w:rFonts w:ascii="Times New Roman" w:hAnsi="Times New Roman"/>
          <w:b/>
          <w:sz w:val="20"/>
        </w:rPr>
        <w:t>COUNTERCLAIM</w:t>
      </w:r>
      <w:r>
        <w:rPr>
          <w:rFonts w:ascii="Times New Roman" w:hAnsi="Times New Roman"/>
          <w:sz w:val="20"/>
        </w:rPr>
        <w:t xml:space="preserve"> </w:t>
      </w:r>
      <w:r>
        <w:rPr>
          <w:rFonts w:ascii="Times New Roman" w:hAnsi="Times New Roman"/>
          <w:b/>
          <w:sz w:val="20"/>
        </w:rPr>
        <w:t>OR</w:t>
      </w:r>
      <w:r>
        <w:rPr>
          <w:rFonts w:ascii="Times New Roman" w:hAnsi="Times New Roman"/>
          <w:sz w:val="20"/>
        </w:rPr>
        <w:t xml:space="preserve"> </w:t>
      </w:r>
      <w:r>
        <w:rPr>
          <w:rFonts w:ascii="Times New Roman" w:hAnsi="Times New Roman"/>
          <w:b/>
          <w:sz w:val="20"/>
        </w:rPr>
        <w:t>OTHER</w:t>
      </w:r>
      <w:r>
        <w:rPr>
          <w:rFonts w:ascii="Times New Roman" w:hAnsi="Times New Roman"/>
          <w:sz w:val="20"/>
        </w:rPr>
        <w:t xml:space="preserve"> </w:t>
      </w:r>
      <w:r>
        <w:rPr>
          <w:rFonts w:ascii="Times New Roman" w:hAnsi="Times New Roman"/>
          <w:b/>
          <w:sz w:val="20"/>
        </w:rPr>
        <w:t>PROCEEDING WHICH SEEKS, IN WHOLE OR IN PART, TO CHALLENGE THE VALIDITY OR ENFORCEABILITY OF THIS SUBSCRIPTION AGREEMENT OR ANY PROVISION HEREOF. THIS WAIVER SHALL APPLY TO ANY SUBSEQUENT AMENDMENTS, RENEWALS, SUPPLEMENTS OR MODIFICATIONS TO THIS SUBSCRIPTION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 The parties hereto agree that all disputes, legal actions, suits and proceedings arising out of or relating to this Subscription Agreement must be brought exclusively in the courts of the State of California, or, if it has or can acquire jurisdiction, in the United States District Court for the Southern District of California (collectively the “</w:t>
      </w:r>
      <w:r>
        <w:rPr>
          <w:rFonts w:ascii="Times New Roman" w:hAnsi="Times New Roman"/>
          <w:b/>
          <w:sz w:val="20"/>
          <w:u w:val="single"/>
        </w:rPr>
        <w:t>Designated Courts</w:t>
      </w:r>
      <w:r>
        <w:rPr>
          <w:rFonts w:ascii="Times New Roman" w:hAnsi="Times New Roman"/>
          <w:sz w:val="20"/>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brought in the Designated Courts has been brought in an improper or inconvenient forum or venue. Each of the parties hereto also agrees that delivery of any process, summons, notice or document to a party hereof in compliance with </w:t>
      </w:r>
      <w:r>
        <w:rPr>
          <w:rFonts w:ascii="Times New Roman" w:hAnsi="Times New Roman"/>
          <w:sz w:val="20"/>
          <w:u w:val="single"/>
        </w:rPr>
        <w:t>Section 7(a)</w:t>
      </w:r>
      <w:r>
        <w:rPr>
          <w:rFonts w:ascii="Times New Roman" w:hAnsi="Times New Roman"/>
          <w:sz w:val="20"/>
        </w:rPr>
        <w:t xml:space="preserve"> of this Subscription Agreement shall be effective service of process for any action, suit or proceeding in a Designated Court with respect to any matters to which the parties have submitted to jurisdiction as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(t)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or third party beneficiaries hereto and then only with respect to the specific obligations set forth herein with respect to such party or third party beneficiary. No past, present or future director, officer, employee, incorporator, manager, member, partner, shareholder,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(u) If, any change in the Ordinary Shares shall occur between the date hereof and immediately prior to the Closing by reason of any reclassification, recapitalization, stock split (including reverse stock split) or combination, exchange or readjustment of shares, or any stock dividend, the number of Subscribed Shares issued to Subscriber shall be appropriately adjusted to reflect such change. </w:t>
      </w:r>
    </w:p>
    <w:p>
      <w:pPr>
        <w:pStyle w:val="TextBody"/>
        <w:bidi w:val="0"/>
        <w:spacing w:before="240" w:after="0"/>
        <w:jc w:val="left"/>
        <w:rPr>
          <w:rFonts w:ascii="Times New Roman" w:hAnsi="Times New Roman"/>
          <w:sz w:val="20"/>
        </w:rPr>
      </w:pPr>
      <w:r>
        <w:rPr>
          <w:rFonts w:ascii="Times New Roman" w:hAnsi="Times New Roman"/>
          <w:sz w:val="20"/>
        </w:rPr>
        <w:t xml:space="preserve">(v) Subscriber hereby consents to the publication and disclosure in any press release issued by Apollomics, any Form 6-K filed by Apollomics with the SEC in connection with the transactions contemplated hereby (and, as and to the extent otherwise required by the federal securities laws, exchange rules, the SEC or any other securities authorities or any rules and regulations promulgated thereby, any other documents or communications provided by Apollomics to any Governmental Authority or to any securityholders of Apollomics) of Subscriber’s identity and beneficial ownership of the Subscribed Shares and the nature of Subscriber’s commitments, arrangements and understandings under and relating to this Subscription Agreement and, if deemed appropriate by Apollomics, a copy of this Subscription Agreement, all solely to the extent required by applicable law or any regulation or stock exchange listing requirement. Subscriber will promptly provide any information reasonably requested by Apollomics for any regulatory application or filing made or approval sought (including filings with the SEC). Notwithstanding the foregoing, Apollomics shall provide to Subscriber a copy of any proposed disclosure relating to Subscriber in accordance with the provisions of this </w:t>
      </w:r>
      <w:r>
        <w:rPr>
          <w:rFonts w:ascii="Times New Roman" w:hAnsi="Times New Roman"/>
          <w:sz w:val="20"/>
          <w:u w:val="single"/>
        </w:rPr>
        <w:t>Section 7(v)</w:t>
      </w:r>
      <w:r>
        <w:rPr>
          <w:rFonts w:ascii="Times New Roman" w:hAnsi="Times New Roman"/>
          <w:sz w:val="20"/>
        </w:rPr>
        <w:t xml:space="preserve"> in advance of any publication thereof and shall consider in good faith such revisions to such proposed disclosure as Subscriber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(w)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Subscriber or other investor under the Other Subscription Agreements. The decision of Subscriber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Apollomics,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any other investor pursuant hereto or thereto, shall be deemed to constitute Subscriber and Other Subscribers or any other investors as a partnership, an association, a joint venture or any other kind of entity, or create a presumption that Subscriber and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each the parties hereto have executed or caused this Subscription Agreement to be executed by its duly authorized representative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APOLLOMICS INC.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 </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Name:</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for Notices:</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Apollomics, Inc.</w:t>
            </w:r>
          </w:p>
          <w:p>
            <w:pPr>
              <w:pStyle w:val="TableContents"/>
              <w:bidi w:val="0"/>
              <w:spacing w:before="0" w:after="0"/>
              <w:jc w:val="left"/>
              <w:rPr>
                <w:rFonts w:ascii="Times New Roman" w:hAnsi="Times New Roman"/>
                <w:sz w:val="20"/>
              </w:rPr>
            </w:pPr>
            <w:r>
              <w:rPr>
                <w:rFonts w:ascii="Times New Roman" w:hAnsi="Times New Roman"/>
                <w:sz w:val="20"/>
              </w:rPr>
              <w:t>989 E. Hillsdale Blvd., Suite 220</w:t>
            </w:r>
          </w:p>
          <w:p>
            <w:pPr>
              <w:pStyle w:val="TableContents"/>
              <w:bidi w:val="0"/>
              <w:spacing w:before="0" w:after="20"/>
              <w:jc w:val="left"/>
              <w:rPr>
                <w:rFonts w:ascii="Times New Roman" w:hAnsi="Times New Roman"/>
                <w:sz w:val="20"/>
              </w:rPr>
            </w:pPr>
            <w:r>
              <w:rPr>
                <w:rFonts w:ascii="Times New Roman" w:hAnsi="Times New Roman"/>
                <w:sz w:val="20"/>
              </w:rPr>
              <w:t>Foster City, CA 94404</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Attn:</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0"/>
              <w:jc w:val="left"/>
              <w:rPr>
                <w:rFonts w:ascii="Times New Roman" w:hAnsi="Times New Roman"/>
                <w:sz w:val="20"/>
              </w:rPr>
            </w:pPr>
            <w:r>
              <w:rPr>
                <w:rFonts w:ascii="Times New Roman" w:hAnsi="Times New Roman"/>
                <w:sz w:val="20"/>
              </w:rPr>
              <w:t>Email:</w:t>
            </w:r>
          </w:p>
        </w:tc>
      </w:tr>
    </w:tbl>
    <w:p>
      <w:pPr>
        <w:pStyle w:val="TextBody"/>
        <w:bidi w:val="0"/>
        <w:spacing w:before="0" w:after="0"/>
        <w:jc w:val="left"/>
        <w:rPr/>
      </w:pPr>
      <w:r>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Signature Page to Subscription Agreement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b/>
              </w:rPr>
            </w:pPr>
            <w:r>
              <w:rPr>
                <w:b/>
              </w:rPr>
              <w:t>SUBSCRIBER</w:t>
            </w:r>
          </w:p>
        </w:tc>
      </w:tr>
      <w:tr>
        <w:trPr>
          <w:trHeight w:val="24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Address for Notices:</w:t>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r>
        <w:trPr>
          <w:trHeight w:val="24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Email for Notices:</w:t>
            </w:r>
          </w:p>
        </w:tc>
      </w:tr>
      <w:tr>
        <w:trPr>
          <w:trHeight w:val="24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Name in which shares are to be registered:</w:t>
            </w:r>
          </w:p>
        </w:tc>
      </w:tr>
      <w:tr>
        <w:trPr/>
        <w:tc>
          <w:tcPr>
            <w:tcW w:w="510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Number of Subscribed Shares subscribed for: </w:t>
      </w:r>
    </w:p>
    <w:p>
      <w:pPr>
        <w:pStyle w:val="TextBody"/>
        <w:bidi w:val="0"/>
        <w:spacing w:before="120" w:after="0"/>
        <w:jc w:val="left"/>
        <w:rPr>
          <w:rFonts w:ascii="Times New Roman" w:hAnsi="Times New Roman"/>
          <w:sz w:val="20"/>
        </w:rPr>
      </w:pPr>
      <w:r>
        <w:rPr>
          <w:rFonts w:ascii="Times New Roman" w:hAnsi="Times New Roman"/>
          <w:sz w:val="20"/>
        </w:rPr>
        <w:t xml:space="preserve">Price Per Subscribed Share: </w:t>
      </w:r>
    </w:p>
    <w:p>
      <w:pPr>
        <w:pStyle w:val="TextBody"/>
        <w:bidi w:val="0"/>
        <w:spacing w:before="120" w:after="0"/>
        <w:jc w:val="left"/>
        <w:rPr>
          <w:rFonts w:ascii="Times New Roman" w:hAnsi="Times New Roman"/>
          <w:sz w:val="20"/>
        </w:rPr>
      </w:pPr>
      <w:r>
        <w:rPr>
          <w:rFonts w:ascii="Times New Roman" w:hAnsi="Times New Roman"/>
          <w:sz w:val="20"/>
        </w:rPr>
        <w:t xml:space="preserve">Purchase Price: </w:t>
      </w:r>
    </w:p>
    <w:p>
      <w:pPr>
        <w:pStyle w:val="TextBody"/>
        <w:bidi w:val="0"/>
        <w:spacing w:before="120" w:after="0"/>
        <w:jc w:val="left"/>
        <w:rPr>
          <w:rFonts w:ascii="Times New Roman" w:hAnsi="Times New Roman"/>
          <w:sz w:val="20"/>
        </w:rPr>
      </w:pPr>
      <w:r>
        <w:rPr>
          <w:rFonts w:ascii="Times New Roman" w:hAnsi="Times New Roman"/>
          <w:i/>
          <w:sz w:val="20"/>
        </w:rPr>
        <w:t>You must pay the Purchase Price by wire transfer of United States dollars in immediately available funds to the account of Apollomics specified by Apollomics.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Subscription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ELIGIBILITY REPRESENTATIONS OF SUBSCRIBER </w:t>
      </w:r>
    </w:p>
    <w:p>
      <w:pPr>
        <w:pStyle w:val="TextBody"/>
        <w:bidi w:val="0"/>
        <w:spacing w:before="240" w:after="0"/>
        <w:jc w:val="center"/>
        <w:rPr>
          <w:rFonts w:ascii="Times New Roman" w:hAnsi="Times New Roman"/>
          <w:sz w:val="20"/>
        </w:rPr>
      </w:pPr>
      <w:r>
        <w:rPr>
          <w:rFonts w:ascii="Times New Roman" w:hAnsi="Times New Roman"/>
          <w:sz w:val="20"/>
        </w:rPr>
        <w:t xml:space="preserve">This Annex A should be completed and signed by Subscriber </w:t>
      </w:r>
    </w:p>
    <w:p>
      <w:pPr>
        <w:pStyle w:val="TextBody"/>
        <w:bidi w:val="0"/>
        <w:spacing w:before="0" w:after="0"/>
        <w:jc w:val="center"/>
        <w:rPr>
          <w:rFonts w:ascii="Times New Roman" w:hAnsi="Times New Roman"/>
          <w:sz w:val="20"/>
        </w:rPr>
      </w:pPr>
      <w:r>
        <w:rPr>
          <w:rFonts w:ascii="Times New Roman" w:hAnsi="Times New Roman"/>
          <w:sz w:val="20"/>
        </w:rPr>
        <w:t xml:space="preserve">and constitutes a part of the Subscription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INSTITUTIONAL BUYER STATUS (Please check the box,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Subscriber is a “qualified institutional buyer” (as defined in Rule 144A under the Securities Act) (a “QIB”)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subscribing for the Subscribed Shares as a fiduciary or agent for one or more investor accounts, and each owner of such account is a QIB.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ACCREDITED INVESTOR STATUS (Please check the box)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Subscriber is an “accredited investor” (within the meaning of Rule 501(a) under the Securities Act) or an entity in which all of the equity holders are accredited investors within the meaning of Rule 501(a) under the Securities Act, and has marked and initialed the appropriate box below indicating the provision under which it qualifies as an “accredited investor.”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STATUS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(Please check the applicable box) </w:t>
      </w:r>
    </w:p>
    <w:p>
      <w:pPr>
        <w:pStyle w:val="TextBody"/>
        <w:bidi w:val="0"/>
        <w:spacing w:before="0" w:after="0"/>
        <w:jc w:val="left"/>
        <w:rPr>
          <w:rFonts w:ascii="Times New Roman" w:hAnsi="Times New Roman"/>
          <w:sz w:val="20"/>
        </w:rPr>
      </w:pPr>
      <w:r>
        <w:rPr>
          <w:rFonts w:ascii="Times New Roman" w:hAnsi="Times New Roman"/>
          <w:sz w:val="20"/>
        </w:rPr>
        <w:t xml:space="preserve">SUBSCRIBER: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“affiliate” (as defined in Rule 144 under the Securities Act) of Apollomics or acting on behalf of an affiliate of Apollomics. </w:t>
      </w:r>
    </w:p>
    <w:p>
      <w:pPr>
        <w:pStyle w:val="TextBody"/>
        <w:bidi w:val="0"/>
        <w:spacing w:before="240" w:after="0"/>
        <w:jc w:val="left"/>
        <w:rPr>
          <w:rFonts w:ascii="Times New Roman" w:hAnsi="Times New Roman"/>
          <w:sz w:val="20"/>
        </w:rPr>
      </w:pPr>
      <w:r>
        <w:rPr>
          <w:rFonts w:ascii="Times New Roman" w:hAnsi="Times New Roman"/>
          <w:sz w:val="20"/>
        </w:rPr>
        <w:t xml:space="preserve">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box(es) below, the provision(s) below which apply to Subscriber and under which Subscriber accordingly qualifies as an “accredited investor.”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8"/>
        <w:gridCol w:w="126"/>
        <w:gridCol w:w="9631"/>
      </w:tblGrid>
      <w:tr>
        <w:trPr/>
        <w:tc>
          <w:tcPr>
            <w:tcW w:w="44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center"/>
              <w:rPr/>
            </w:pPr>
            <w:r>
              <w:rPr/>
              <w:t>☐</w:t>
            </w:r>
          </w:p>
        </w:tc>
        <w:tc>
          <w:tcPr>
            <w:tcW w:w="126" w:type="dxa"/>
            <w:tcBorders/>
            <w:vAlign w:val="bottom"/>
          </w:tcPr>
          <w:p>
            <w:pPr>
              <w:pStyle w:val="TableContents"/>
              <w:bidi w:val="0"/>
              <w:spacing w:before="0" w:after="283"/>
              <w:jc w:val="left"/>
              <w:rPr/>
            </w:pPr>
            <w:r>
              <w:rPr/>
              <w:t>  </w:t>
            </w:r>
          </w:p>
        </w:tc>
        <w:tc>
          <w:tcPr>
            <w:tcW w:w="9631" w:type="dxa"/>
            <w:tcBorders/>
          </w:tcPr>
          <w:p>
            <w:pPr>
              <w:pStyle w:val="TableContents"/>
              <w:bidi w:val="0"/>
              <w:spacing w:before="0" w:after="0"/>
              <w:jc w:val="left"/>
              <w:rPr>
                <w:rFonts w:ascii="Times New Roman" w:hAnsi="Times New Roman"/>
                <w:sz w:val="20"/>
              </w:rPr>
            </w:pPr>
            <w:r>
              <w:rPr>
                <w:rFonts w:ascii="Times New Roman" w:hAnsi="Times New Roman"/>
                <w:sz w:val="20"/>
              </w:rPr>
              <w:t>(a)   A bank, as defined in Section 3(a)(2) of the Securities Act or any savings and loan association or other institution as defined in Section 3(a)(5)(A) of the Securities Act, whether acting in an individual or a fiduciary capacity.</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757"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center"/>
              <w:rPr/>
            </w:pPr>
            <w:r>
              <w:rPr/>
              <w:t>☐</w:t>
            </w:r>
          </w:p>
        </w:tc>
        <w:tc>
          <w:tcPr>
            <w:tcW w:w="126" w:type="dxa"/>
            <w:tcBorders/>
            <w:vAlign w:val="bottom"/>
          </w:tcPr>
          <w:p>
            <w:pPr>
              <w:pStyle w:val="TableContents"/>
              <w:bidi w:val="0"/>
              <w:spacing w:before="0" w:after="283"/>
              <w:jc w:val="left"/>
              <w:rPr/>
            </w:pPr>
            <w:r>
              <w:rPr/>
              <w:t>  </w:t>
            </w:r>
          </w:p>
        </w:tc>
        <w:tc>
          <w:tcPr>
            <w:tcW w:w="9631" w:type="dxa"/>
            <w:tcBorders/>
          </w:tcPr>
          <w:p>
            <w:pPr>
              <w:pStyle w:val="TableContents"/>
              <w:bidi w:val="0"/>
              <w:spacing w:before="0" w:after="0"/>
              <w:jc w:val="left"/>
              <w:rPr>
                <w:rFonts w:ascii="Times New Roman" w:hAnsi="Times New Roman"/>
                <w:sz w:val="20"/>
              </w:rPr>
            </w:pPr>
            <w:r>
              <w:rPr>
                <w:rFonts w:ascii="Times New Roman" w:hAnsi="Times New Roman"/>
                <w:sz w:val="20"/>
              </w:rPr>
              <w:t>(b)   A broker or dealer registered under Section 15 of the Securities Exchange Act of 1934, as amended.</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40"/>
        <w:gridCol w:w="123"/>
        <w:gridCol w:w="9642"/>
      </w:tblGrid>
      <w:tr>
        <w:trPr/>
        <w:tc>
          <w:tcPr>
            <w:tcW w:w="4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64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(c)   An investment adviser registered pursuant to Section 203 of the Investment Advisers Act of 1940 or registered pursuant to the laws of a state.</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(d)   An investment adviser relying on the exemption from registering with the SEC under Section 203(l) or (m) of the Investment Advisers Act of 1940.</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(e)   An insurance company, as defined in Section 2(a)(13) of the Securities Act.</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(f)   An investment company registered under the Investment Company Act of 1940 or a business development company, as defined in Section 2(a)(48) of that act.</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(g)   A small business investment company licensed by the U.S. Small Business Administration under Section 301(c) or (d) of the Small Business Investment Act of 1958.</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(h)   A Rural Business Investment Company as defined in Section 384A of the Consolidated Farm and Rural Development Act.</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(i) A plan established and maintained by a state, its political subdivisions or any agency or instrumentality of a state or its political subdivisions for the benefit of its employees, if the plan has total assets in excess of $5 million.</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(j) An employee benefit plan within the meaning of the Employee Retirement Income Security Act of 1974 in which the investment decision is made by a plan fiduciary, as defined in Section 3(21) of such Act, which is either a bank, savings and loan association, insurance company or registered investment advisor, or an employee benefit plan with total assets in excess of $5 million or, if a self-directed plan, the investment decisions are made solely by persons who are Accredited Investors.</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(k)   A private business development company as defined in Section 202(a)(22) of the Investment Advisors Act of 1940.</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(l) An organization described in Section 501(c)(3) of the Internal Revenue Code of 1986, as amended, a corporation, a Massachusetts or similar business trust, a partnership, or a limited liability company not formed for the specific purpose of acquiring the securities offered, with total assets in excess of $5 million.</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(m) A family office, as defined in Rule 202(a)(11)(G)-1 under the Investment Advisers Act of 1940, that (i) has assets under management in excess of $5 million; (ii) is not formed for the specific purpose of acquiring the Securities and (iii) has a person directing the prospective investment who has such knowledge and experience in financial and business matters so that the family office is capable of evaluating the merits and risks of the prospective investment.</w:t>
            </w:r>
          </w:p>
        </w:tc>
      </w:tr>
      <w:tr>
        <w:trPr>
          <w:trHeight w:val="120" w:hRule="atLeast"/>
        </w:trPr>
        <w:tc>
          <w:tcPr>
            <w:tcW w:w="440" w:type="dxa"/>
            <w:tcBorders/>
            <w:vAlign w:val="center"/>
          </w:tcPr>
          <w:p>
            <w:pPr>
              <w:pStyle w:val="TableContents"/>
              <w:bidi w:val="0"/>
              <w:spacing w:before="0" w:after="283"/>
              <w:jc w:val="left"/>
              <w:rPr>
                <w:sz w:val="4"/>
                <w:szCs w:val="4"/>
              </w:rPr>
            </w:pPr>
            <w:r>
              <w:rPr>
                <w:sz w:val="4"/>
                <w:szCs w:val="4"/>
              </w:rPr>
            </w:r>
          </w:p>
        </w:tc>
        <w:tc>
          <w:tcPr>
            <w:tcW w:w="9765" w:type="dxa"/>
            <w:gridSpan w:val="2"/>
            <w:tcBorders/>
            <w:vAlign w:val="center"/>
          </w:tcPr>
          <w:p>
            <w:pPr>
              <w:pStyle w:val="TableContents"/>
              <w:bidi w:val="0"/>
              <w:spacing w:before="0" w:after="283"/>
              <w:jc w:val="left"/>
              <w:rPr>
                <w:sz w:val="4"/>
                <w:szCs w:val="4"/>
              </w:rPr>
            </w:pPr>
            <w:r>
              <w:rPr>
                <w:sz w:val="4"/>
                <w:szCs w:val="4"/>
              </w:rPr>
            </w:r>
          </w:p>
        </w:tc>
      </w:tr>
      <w:tr>
        <w:trPr/>
        <w:tc>
          <w:tcPr>
            <w:tcW w:w="440"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9642" w:type="dxa"/>
            <w:tcBorders/>
          </w:tcPr>
          <w:p>
            <w:pPr>
              <w:pStyle w:val="TableContents"/>
              <w:bidi w:val="0"/>
              <w:spacing w:before="0" w:after="0"/>
              <w:jc w:val="left"/>
              <w:rPr>
                <w:rFonts w:ascii="Times New Roman" w:hAnsi="Times New Roman"/>
                <w:sz w:val="20"/>
              </w:rPr>
            </w:pPr>
            <w:r>
              <w:rPr>
                <w:rFonts w:ascii="Times New Roman" w:hAnsi="Times New Roman"/>
                <w:sz w:val="20"/>
              </w:rPr>
              <w:t>(n)   A family client, as defined in Rule 202(a)(11)(G)-1 under the Investment Advisers Act of 1940, of a family office meeting the requirements of clause (m) above and whose prospective investment in the Issuer is directed by that family office pursuant to clause (m)(iii) above.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37"/>
        <w:gridCol w:w="120"/>
        <w:gridCol w:w="9648"/>
      </w:tblGrid>
      <w:tr>
        <w:trPr/>
        <w:tc>
          <w:tcPr>
            <w:tcW w:w="4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4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(o)   A director or executive officer of the Company.</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(p)   A natural person whose individual net worth, or joint net worth with that person’s spouse or spousal equivalent, at the time of his/her purchase, exceeds $1 million, excluding the value of that natural person’s primary residence. “Spousal equivalent” means a cohabitant occupying a relationship generally equivalent to that of a spouse. Joint net worth can be the aggregate net worth of a person and spouse or spousal equivalent; assets do not need to be held jointly to be included in the calculation.</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(q)   A natural person who had individual income in excess of $200,000 in each of two most recent years or joint income with that person’s spouse or spousal equivalent in excess of $300,000 in each of those years and has a reasonable expectation of reaching the same income level in the current year (please attach copies of Form 1040 without Schedules or Exhibits). “Spousal equivalent” means a cohabitant occupying a relationship generally equivalent to that of a spouse.</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(r)   A trust, with total assets in excess of $5 million not formed for the specific purpose of acquiring the securities offered, whose purchase is directed by a sophisticated person as described in SEC Rule 506(b)(2)(ii).</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(s)   A natural person who holds, in good standing, one of the following professional licenses: the General Securities Representative license (Series 7), the Private Securities Offerings Representative license (Series 82), or the Investment Adviser Representative license (Series 65).</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(t) An entity of a type not listed above, that is not formed for the specific purpose of acquiring the Securities and owns investments in excess of $5 million. For purposes of this clause, “investments” means investments as defined in Rule 2a51-1(b) under the Investment Company Act of 1940.</w:t>
            </w:r>
          </w:p>
        </w:tc>
      </w:tr>
      <w:tr>
        <w:trPr>
          <w:trHeight w:val="12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(u)   An entity in which all of the equity owners are Accredited Investors.</w:t>
            </w:r>
          </w:p>
        </w:tc>
      </w:tr>
    </w:tbl>
    <w:p>
      <w:pPr>
        <w:pStyle w:val="TextBody"/>
        <w:bidi w:val="0"/>
        <w:spacing w:before="480" w:after="0"/>
        <w:jc w:val="center"/>
        <w:rPr>
          <w:rFonts w:ascii="Times New Roman" w:hAnsi="Times New Roman"/>
          <w:b/>
          <w:i/>
          <w:sz w:val="20"/>
        </w:rPr>
      </w:pPr>
      <w:r>
        <w:rPr>
          <w:rFonts w:ascii="Times New Roman" w:hAnsi="Times New Roman"/>
          <w:b/>
          <w:i/>
          <w:sz w:val="20"/>
        </w:rPr>
        <w:t xml:space="preserve">This page should be completed by Subscriber and constitutes a part of the Subscription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614"/>
        <w:gridCol w:w="60"/>
        <w:gridCol w:w="2408"/>
      </w:tblGrid>
      <w:tr>
        <w:trPr/>
        <w:tc>
          <w:tcPr>
            <w:tcW w:w="161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r>
      <w:tr>
        <w:trPr/>
        <w:tc>
          <w:tcPr>
            <w:tcW w:w="1614" w:type="dxa"/>
            <w:tcBorders/>
          </w:tcPr>
          <w:p>
            <w:pPr>
              <w:pStyle w:val="TableContents"/>
              <w:bidi w:val="0"/>
              <w:spacing w:before="0" w:after="0"/>
              <w:jc w:val="left"/>
              <w:rPr>
                <w:rFonts w:ascii="Times New Roman" w:hAnsi="Times New Roman"/>
                <w:b/>
                <w:sz w:val="20"/>
              </w:rPr>
            </w:pPr>
            <w:r>
              <w:rPr>
                <w:rFonts w:ascii="Times New Roman" w:hAnsi="Times New Roman"/>
                <w:b/>
                <w:sz w:val="20"/>
              </w:rPr>
              <w:t>SUBSCRIBER:</w:t>
            </w:r>
          </w:p>
        </w:tc>
        <w:tc>
          <w:tcPr>
            <w:tcW w:w="6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rHeight w:val="240" w:hRule="atLeast"/>
        </w:trPr>
        <w:tc>
          <w:tcPr>
            <w:tcW w:w="1614" w:type="dxa"/>
            <w:tcBorders/>
            <w:vAlign w:val="center"/>
          </w:tcPr>
          <w:p>
            <w:pPr>
              <w:pStyle w:val="TableContents"/>
              <w:bidi w:val="0"/>
              <w:spacing w:before="0" w:after="283"/>
              <w:jc w:val="left"/>
              <w:rPr>
                <w:sz w:val="4"/>
                <w:szCs w:val="4"/>
              </w:rPr>
            </w:pPr>
            <w:r>
              <w:rPr>
                <w:sz w:val="4"/>
                <w:szCs w:val="4"/>
              </w:rPr>
            </w:r>
          </w:p>
        </w:tc>
        <w:tc>
          <w:tcPr>
            <w:tcW w:w="2468" w:type="dxa"/>
            <w:gridSpan w:val="2"/>
            <w:tcBorders/>
            <w:vAlign w:val="center"/>
          </w:tcPr>
          <w:p>
            <w:pPr>
              <w:pStyle w:val="TableContents"/>
              <w:bidi w:val="0"/>
              <w:spacing w:before="0" w:after="283"/>
              <w:jc w:val="left"/>
              <w:rPr>
                <w:sz w:val="4"/>
                <w:szCs w:val="4"/>
              </w:rPr>
            </w:pPr>
            <w:r>
              <w:rPr>
                <w:sz w:val="4"/>
                <w:szCs w:val="4"/>
              </w:rPr>
            </w:r>
          </w:p>
        </w:tc>
      </w:tr>
      <w:tr>
        <w:trPr/>
        <w:tc>
          <w:tcPr>
            <w:tcW w:w="1614" w:type="dxa"/>
            <w:tcBorders/>
          </w:tcPr>
          <w:p>
            <w:pPr>
              <w:pStyle w:val="TableContents"/>
              <w:bidi w:val="0"/>
              <w:spacing w:before="0" w:after="0"/>
              <w:jc w:val="left"/>
              <w:rPr>
                <w:rFonts w:ascii="Times New Roman" w:hAnsi="Times New Roman"/>
                <w:sz w:val="20"/>
              </w:rPr>
            </w:pPr>
            <w:r>
              <w:rPr>
                <w:rFonts w:ascii="Times New Roman" w:hAnsi="Times New Roman"/>
                <w:sz w:val="20"/>
              </w:rPr>
              <w:t>Print Name:</w:t>
            </w:r>
          </w:p>
        </w:tc>
        <w:tc>
          <w:tcPr>
            <w:tcW w:w="6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c>
          <w:tcPr>
            <w:tcW w:w="161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c>
          <w:tcPr>
            <w:tcW w:w="161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r>
        <w:trPr/>
        <w:tc>
          <w:tcPr>
            <w:tcW w:w="161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40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6" w:name="d133013dex991.htm"/>
      <w:bookmarkStart w:id="7" w:name="ksd133013dex991"/>
      <w:bookmarkEnd w:id="6"/>
      <w:bookmarkEnd w:id="7"/>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44780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600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Apollomics Announces $10 Million Private Placement Transaction </w:t>
      </w:r>
    </w:p>
    <w:p>
      <w:pPr>
        <w:pStyle w:val="TextBody"/>
        <w:bidi w:val="0"/>
        <w:spacing w:before="240" w:after="0"/>
        <w:jc w:val="left"/>
        <w:rPr>
          <w:rFonts w:ascii="Times New Roman" w:hAnsi="Times New Roman"/>
          <w:sz w:val="20"/>
        </w:rPr>
      </w:pPr>
      <w:r>
        <w:rPr>
          <w:rFonts w:ascii="Times New Roman" w:hAnsi="Times New Roman"/>
          <w:b/>
          <w:sz w:val="20"/>
        </w:rPr>
        <w:t>FOSTER CITY,</w:t>
      </w:r>
      <w:r>
        <w:rPr>
          <w:rFonts w:ascii="Times New Roman" w:hAnsi="Times New Roman"/>
          <w:sz w:val="20"/>
        </w:rPr>
        <w:t xml:space="preserve"> CALIF. – August 11, 2026 – </w:t>
      </w:r>
      <w:r>
        <w:rPr>
          <w:rFonts w:ascii="Times New Roman" w:hAnsi="Times New Roman"/>
          <w:sz w:val="20"/>
          <w:u w:val="single"/>
        </w:rPr>
        <w:t>Apollomics Inc.</w:t>
      </w:r>
      <w:r>
        <w:rPr>
          <w:rFonts w:ascii="Times New Roman" w:hAnsi="Times New Roman"/>
          <w:sz w:val="20"/>
        </w:rPr>
        <w:t xml:space="preserve"> (Nasdaq: </w:t>
      </w:r>
      <w:r>
        <w:rPr>
          <w:rFonts w:ascii="Times New Roman" w:hAnsi="Times New Roman"/>
          <w:sz w:val="20"/>
          <w:u w:val="single"/>
        </w:rPr>
        <w:t>APLM</w:t>
      </w:r>
      <w:r>
        <w:rPr>
          <w:rFonts w:ascii="Times New Roman" w:hAnsi="Times New Roman"/>
          <w:sz w:val="20"/>
        </w:rPr>
        <w:t xml:space="preserve">) (“Apollomics” or the “Company”), a late-stage clinical biopharmaceutical company developing multiple oncology drug candidates to address difficult-to-treat and treatment-resistant cancers, today announced that it has entered into definitive subscription agreements (the “Subscription Agreements”) for a private placement transaction (the “Private Placement”) with certain accredited investors (the “Investors”), for an aggregate gross consideration of approximately $10.0 million. The Private Placement is expected to close on or about August 14,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comprises the issuance of an aggregate of up to 700,001 Class A ordinary shares, par value $0.01 per share, of the Company (the “Class A Shares”) under the following tranches: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Investment: Cash subscriptions for an aggregate of 533,334 Class A Shares at a purchase price of $15.00 per share, generating aggregate gross cash proceeds of approximately $8.0 million before fees and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1"/>
        <w:gridCol w:w="9804"/>
      </w:tblGrid>
      <w:tr>
        <w:trPr/>
        <w:tc>
          <w:tcPr>
            <w:tcW w:w="401" w:type="dxa"/>
            <w:tcBorders/>
          </w:tcPr>
          <w:p>
            <w:pPr>
              <w:pStyle w:val="TableContents"/>
              <w:bidi w:val="0"/>
              <w:spacing w:before="0" w:after="283"/>
              <w:jc w:val="left"/>
              <w:rPr/>
            </w:pPr>
            <w:r>
              <w:rPr/>
              <w:t></w:t>
            </w:r>
          </w:p>
        </w:tc>
        <w:tc>
          <w:tcPr>
            <w:tcW w:w="980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Conversion: The automatic conversion of the outstanding $2.0 million principal amount of that certain unsecured Convertible Promissory Note, dated March 30, 2026, held by Mr. Hung-Wen (Howard) Chen, the Company’s Chairman and Chief Executive Officer. Pursuant to the terms of the Note, the conversion price is set at $12.00 per share, representing 80% of the purchase price paid by cash investors in the PIPE Transaction, resulting in the issuance of 166,667 Class A Shares at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cash portion of the Private Placement includes participation from certain unaffiliated accredited investors, as well as several of the Company’s executive officers and directors (or their affiliates), including Chief Executive Officer Hung-Wen (Howard) Chen, Chief Financial Officer Peter Kuan-How Lin, and Maxpro Investment Co., Ltd. (an affiliate of Chief Operating Officer Yi-Kuei (Alex) Chen). </w:t>
      </w:r>
    </w:p>
    <w:p>
      <w:pPr>
        <w:pStyle w:val="TextBody"/>
        <w:bidi w:val="0"/>
        <w:spacing w:before="240" w:after="0"/>
        <w:jc w:val="left"/>
        <w:rPr>
          <w:rFonts w:ascii="Times New Roman" w:hAnsi="Times New Roman"/>
          <w:sz w:val="20"/>
        </w:rPr>
      </w:pPr>
      <w:r>
        <w:rPr>
          <w:rFonts w:ascii="Times New Roman" w:hAnsi="Times New Roman"/>
          <w:sz w:val="20"/>
        </w:rPr>
        <w:t xml:space="preserve">No placement agents or underwriters were utilized in connection with the Private Placement, and no finder’s fees or commissions are payable. </w:t>
      </w:r>
    </w:p>
    <w:p>
      <w:pPr>
        <w:pStyle w:val="TextBody"/>
        <w:bidi w:val="0"/>
        <w:spacing w:before="240" w:after="0"/>
        <w:jc w:val="left"/>
        <w:rPr>
          <w:rFonts w:ascii="Times New Roman" w:hAnsi="Times New Roman"/>
          <w:sz w:val="20"/>
        </w:rPr>
      </w:pPr>
      <w:r>
        <w:rPr>
          <w:rFonts w:ascii="Times New Roman" w:hAnsi="Times New Roman"/>
          <w:sz w:val="20"/>
        </w:rPr>
        <w:t xml:space="preserve">The Class A Shares to be issued in the Private Placement have not been registered under the Securities Act of 1933, as amended (the “Securities Act”), or any state or other applicable jurisdiction’s securities laws, in reliance on the exemption from registration provided by Section 4(a)(2) of the Securities Act and/or Rule 506 of Regulation D promulgated thereunder, or under any state securities laws. The Company relied on this exemption from registration based in part on representations made by the Investors. The securities may not be offered or sold in the United States absent registration or an applicable exemption from registration requirements. The Investors have agreed that all Class A Shares issued at closing will be restricted securities subject to customary holding periods under Rule 144.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any securities of Apollomics Inc., nor shall there be any sale of these securities in any state or jurisdiction in which such offer, solicitation or sale would be unlawful prior to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About </w:t>
      </w:r>
      <w:r>
        <w:rPr>
          <w:rFonts w:ascii="Times New Roman" w:hAnsi="Times New Roman"/>
          <w:b/>
          <w:sz w:val="20"/>
          <w:u w:val="single"/>
        </w:rPr>
        <w:t>Apollomics Inc.</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Apollomics Inc. is an innovative clinical-stage biopharmaceutical company focused on the discovery and development of oncology therapies with the potential to be combined with other treatment options to harness the immune system and target specific molecular pathways to inhibit cancer. Apollomics’ lead program is vebreltinib (APL-101), a potent, selective c-Met inhibitor for the treatment of non-small cell lung cancer and other advanced tumors with c-Met alterations, which is currently in a Phase 2 multicohort clinical trial in the United States and other countries.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44780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47800" cy="600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more information, please visit </w:t>
      </w:r>
      <w:r>
        <w:rPr>
          <w:rFonts w:ascii="Times New Roman" w:hAnsi="Times New Roman"/>
          <w:sz w:val="20"/>
          <w:u w:val="single"/>
        </w:rPr>
        <w:t>www.apollomicsinc.com</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statements that constitute “forward-looking statements” within the meaning of the federal securities laws, including Section 27A of the Securities Act of 1933, as amended (the “Securities Act”), and Section 21E of the Securities Exchange Act of 1934, as amended (the “Exchange Act”). All statements, other than statements of present or historical fact included in this press release, regarding Apollomics’ strategy, prospects, plans, objectives and anticipated outcomes from the development and commercialization of vebreltinib are forward-looking statements. When used in this press release, the words “could,” “should,” “will,” “may,” “believe,” “anticipate,” “intend,” “estimate,” “expect,” “seek,” “project,”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In addition, Apollomics cautions you that the forward-looking statements contained in this press release are subject to unknown risks, uncertainties and other factors, including those risks and uncertainties discussed in the Annual Report on Form 20-F for the year ended December 31, 2025, filed by Apollomics Inc. with the U.S. Securities and Exchange Commission (“SEC”) under the heading “Risk Factors” and the other documents filed, or to be filed, by Apollomics with the SEC. Additional information concerning these and other factors that may impact the operations and projections discussed herein can be found in the reports that Apollomics has filed and will file from time to time with the SEC. Forward-looking statements speak only as of the date made by Apollomics. Apollomics undertakes no obligation to update publicly any of its forward-looking statements to reflect actual results, new information or future events, changes in assumptions or changes in other factors affecting forward-looking statements, except to the extent required by applicable law. </w:t>
      </w:r>
    </w:p>
    <w:p>
      <w:pPr>
        <w:pStyle w:val="TextBody"/>
        <w:bidi w:val="0"/>
        <w:spacing w:before="360" w:after="0"/>
        <w:jc w:val="left"/>
        <w:rPr>
          <w:rFonts w:ascii="Times New Roman" w:hAnsi="Times New Roman"/>
          <w:sz w:val="20"/>
        </w:rPr>
      </w:pPr>
      <w:r>
        <w:rPr>
          <w:rFonts w:ascii="Times New Roman" w:hAnsi="Times New Roman"/>
          <w:sz w:val="20"/>
        </w:rPr>
        <w:t xml:space="preserve">Investor Contacts </w:t>
      </w:r>
    </w:p>
    <w:p>
      <w:pPr>
        <w:pStyle w:val="TextBody"/>
        <w:bidi w:val="0"/>
        <w:spacing w:before="120" w:after="0"/>
        <w:jc w:val="left"/>
        <w:rPr>
          <w:rFonts w:ascii="Times New Roman" w:hAnsi="Times New Roman"/>
          <w:sz w:val="20"/>
        </w:rPr>
      </w:pPr>
      <w:r>
        <w:rPr>
          <w:rFonts w:ascii="Times New Roman" w:hAnsi="Times New Roman"/>
          <w:sz w:val="20"/>
        </w:rPr>
        <w:t xml:space="preserve">Peter Lin,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Apollomics, Inc. </w:t>
      </w:r>
    </w:p>
    <w:p>
      <w:pPr>
        <w:pStyle w:val="TextBody"/>
        <w:bidi w:val="0"/>
        <w:spacing w:before="0" w:after="0"/>
        <w:jc w:val="left"/>
        <w:rPr>
          <w:rFonts w:ascii="Times New Roman" w:hAnsi="Times New Roman"/>
          <w:sz w:val="20"/>
        </w:rPr>
      </w:pPr>
      <w:r>
        <w:rPr>
          <w:rFonts w:ascii="Times New Roman" w:hAnsi="Times New Roman"/>
          <w:sz w:val="20"/>
        </w:rPr>
        <w:t xml:space="preserve">1-650-209-4055 </w:t>
      </w:r>
    </w:p>
    <w:p>
      <w:pPr>
        <w:pStyle w:val="TextBody"/>
        <w:bidi w:val="0"/>
        <w:spacing w:before="0" w:after="0"/>
        <w:jc w:val="left"/>
        <w:rPr>
          <w:rFonts w:ascii="Times New Roman" w:hAnsi="Times New Roman"/>
          <w:sz w:val="20"/>
        </w:rPr>
      </w:pPr>
      <w:r>
        <w:rPr>
          <w:rFonts w:ascii="Times New Roman" w:hAnsi="Times New Roman"/>
          <w:sz w:val="20"/>
        </w:rPr>
        <w:t xml:space="preserve">peter.lin@apollomicsinc.com </w:t>
      </w:r>
    </w:p>
    <w:p>
      <w:pPr>
        <w:pStyle w:val="TextBody"/>
        <w:bidi w:val="0"/>
        <w:spacing w:before="240" w:after="0"/>
        <w:jc w:val="left"/>
        <w:rPr>
          <w:rFonts w:ascii="Times New Roman" w:hAnsi="Times New Roman"/>
          <w:sz w:val="20"/>
        </w:rPr>
      </w:pPr>
      <w:r>
        <w:rPr>
          <w:rFonts w:ascii="Times New Roman" w:hAnsi="Times New Roman"/>
          <w:sz w:val="20"/>
        </w:rPr>
        <w:t xml:space="preserve">Peter Vozzo </w:t>
      </w:r>
    </w:p>
    <w:p>
      <w:pPr>
        <w:pStyle w:val="TextBody"/>
        <w:bidi w:val="0"/>
        <w:spacing w:before="0" w:after="0"/>
        <w:jc w:val="left"/>
        <w:rPr>
          <w:rFonts w:ascii="Times New Roman" w:hAnsi="Times New Roman"/>
          <w:sz w:val="20"/>
        </w:rPr>
      </w:pPr>
      <w:r>
        <w:rPr>
          <w:rFonts w:ascii="Times New Roman" w:hAnsi="Times New Roman"/>
          <w:sz w:val="20"/>
        </w:rPr>
        <w:t xml:space="preserve">ICR Healthcare </w:t>
      </w:r>
    </w:p>
    <w:p>
      <w:pPr>
        <w:pStyle w:val="TextBody"/>
        <w:bidi w:val="0"/>
        <w:spacing w:before="0" w:after="0"/>
        <w:jc w:val="left"/>
        <w:rPr>
          <w:rFonts w:ascii="Times New Roman" w:hAnsi="Times New Roman"/>
          <w:sz w:val="20"/>
        </w:rPr>
      </w:pPr>
      <w:r>
        <w:rPr>
          <w:rFonts w:ascii="Times New Roman" w:hAnsi="Times New Roman"/>
          <w:sz w:val="20"/>
        </w:rPr>
        <w:t xml:space="preserve">1-443-213-0505 </w:t>
      </w:r>
    </w:p>
    <w:p>
      <w:pPr>
        <w:pStyle w:val="TextBody"/>
        <w:bidi w:val="0"/>
        <w:spacing w:before="0" w:after="0"/>
        <w:jc w:val="left"/>
        <w:rPr>
          <w:rFonts w:ascii="Times New Roman" w:hAnsi="Times New Roman"/>
          <w:sz w:val="20"/>
        </w:rPr>
      </w:pPr>
      <w:r>
        <w:rPr>
          <w:rFonts w:ascii="Times New Roman" w:hAnsi="Times New Roman"/>
          <w:sz w:val="20"/>
        </w:rPr>
        <w:t xml:space="preserve">Peter.Vozzo@icrhealthcare.com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12559</Words>
  <Characters>69390</Characters>
  <CharactersWithSpaces>82077</CharactersWithSpaces>
  <Paragraphs>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