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5372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372100"/>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Chen Yi-Kuei</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989 E HILLSDALE BLVD, SUITE 220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Apollomics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APLM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76"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4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40" w:type="dxa"/>
            <w:vAlign w:val="bottom"/>
            <w:gridSpan w:val="8"/>
            <w:vMerge w:val="continue"/>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gridSpan w:val="2"/>
          </w:tcPr>
          <w:p>
            <w:pPr>
              <w:ind w:left="24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FOSTER CITY  CA</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94404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5"/>
          </w:tcPr>
          <w:p>
            <w:pPr>
              <w:ind w:left="24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gridSpan w:val="8"/>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Borders>
              <w:top w:val="single" w:sz="8" w:color="EEEEEE"/>
            </w:tcBorders>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9"/>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4"/>
                <w:szCs w:val="14"/>
                <w:color w:val="auto"/>
              </w:rPr>
            </w:pPr>
          </w:p>
        </w:tc>
        <w:tc>
          <w:tcPr>
            <w:tcW w:w="184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7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74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82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06/15/2026</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2"/>
                <w:szCs w:val="22"/>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3"/>
              </w:rPr>
              <w:t>5,000</w:t>
            </w:r>
          </w:p>
        </w:tc>
        <w:tc>
          <w:tcPr>
            <w:tcW w:w="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Pr>
          <w:p>
            <w:pPr>
              <w:spacing w:after="0"/>
              <w:rPr>
                <w:sz w:val="22"/>
                <w:szCs w:val="22"/>
                <w:color w:val="auto"/>
              </w:rPr>
            </w:pPr>
          </w:p>
        </w:tc>
        <w:tc>
          <w:tcPr>
            <w:tcW w:w="1200" w:type="dxa"/>
            <w:vAlign w:val="bottom"/>
            <w:gridSpan w:val="2"/>
          </w:tcPr>
          <w:p>
            <w:pPr>
              <w:jc w:val="right"/>
              <w:ind w:right="342"/>
              <w:spacing w:after="0"/>
              <w:rPr>
                <w:sz w:val="20"/>
                <w:szCs w:val="20"/>
                <w:color w:val="auto"/>
              </w:rPr>
            </w:pPr>
            <w:r>
              <w:rPr>
                <w:rFonts w:ascii="Times New Roman" w:cs="Times New Roman" w:eastAsia="Times New Roman" w:hAnsi="Times New Roman"/>
                <w:sz w:val="17"/>
                <w:szCs w:val="17"/>
                <w:color w:val="0000FF"/>
              </w:rPr>
              <w:t>15,000</w:t>
            </w:r>
          </w:p>
        </w:tc>
        <w:tc>
          <w:tcPr>
            <w:tcW w:w="34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7"/>
                <w:szCs w:val="17"/>
                <w:color w:val="0000FF"/>
              </w:rPr>
              <w:t>101,248</w:t>
            </w:r>
          </w:p>
        </w:tc>
        <w:tc>
          <w:tcPr>
            <w:tcW w:w="340" w:type="dxa"/>
            <w:vAlign w:val="bottom"/>
          </w:tcPr>
          <w:p>
            <w:pPr>
              <w:spacing w:after="0"/>
              <w:rPr>
                <w:sz w:val="17"/>
                <w:szCs w:val="17"/>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Maxpro</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 Ltd.</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6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136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of (D)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(Instr. 3,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(3)</w:t>
            </w:r>
          </w:p>
        </w:tc>
        <w:tc>
          <w:tcPr>
            <w:tcW w:w="32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(3)</w:t>
            </w:r>
          </w:p>
        </w:tc>
        <w:tc>
          <w:tcPr>
            <w:tcW w:w="8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44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82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6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54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-2072640</wp:posOffset>
            </wp:positionV>
            <wp:extent cx="29210" cy="2078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783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8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member of the Board of Directors of Maxpro Investment Co., Ltd. and is co-founder and managing director of Maxpro Ventures Ltd. The reporting person disclaims beneficial ownership of theses securities except to the extent of his pecuniary interest therein.</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Class A Ordinary Share</w:t>
      </w:r>
    </w:p>
    <w:p>
      <w:pPr>
        <w:spacing w:after="0" w:line="42" w:lineRule="exact"/>
        <w:rPr>
          <w:rFonts w:ascii="Times New Roman" w:cs="Times New Roman" w:eastAsia="Times New Roman" w:hAnsi="Times New Roman"/>
          <w:sz w:val="13"/>
          <w:szCs w:val="13"/>
          <w:color w:val="008000"/>
        </w:rPr>
      </w:pPr>
    </w:p>
    <w:p>
      <w:pPr>
        <w:ind w:left="40" w:right="400" w:firstLine="1"/>
        <w:spacing w:after="0" w:line="24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were granted and previously reported on a Form 3 filed March 18, 2026 and a Form 3/A filed April 14, 2026. Of the initial RSU grant, 5,000 shares vested on each of February 9, 2026, and March 15, 2026, and an additional 5,000 shares will vest on September 15, 2026. This transaction represents the vesting of 5,000 RSUs on June 15, 2026.</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Alison M. Pear, Attorney-In- </w:t>
      </w:r>
      <w:r>
        <w:rPr>
          <w:rFonts w:ascii="Times New Roman" w:cs="Times New Roman" w:eastAsia="Times New Roman" w:hAnsi="Times New Roman"/>
          <w:sz w:val="31"/>
          <w:szCs w:val="31"/>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5232" TargetMode="External"/><Relationship Id="rId14" Type="http://schemas.openxmlformats.org/officeDocument/2006/relationships/hyperlink" Target="http://www.sec.gov/cgi-bin/browse-edgar?action=getcompany&amp;CIK=0001944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2026-06-16T16:03:10Z</dcterms:created>
  <dcterms:modified xsi:type="dcterms:W3CDTF">2026-06-16T16:03:10Z</dcterms:modified>
</cp:coreProperties>
</file>