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Yen Hung Hsien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989 E HILLSDALE BLVD, SUITE 220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Apollomics Inc.</w:t>
              </w:r>
            </w:hyperlink>
            <w:r>
              <w:rPr/>
              <w:t xml:space="preserve"> [ </w:t>
            </w:r>
            <w:r>
              <w:rPr>
                <w:rFonts w:ascii="Times;serif" w:hAnsi="Times;serif"/>
                <w:color w:val="0000FF"/>
                <w:sz w:val="24"/>
                <w:shd w:fill="FFFFFF" w:val="clear"/>
              </w:rPr>
              <w:t>APLM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20, 2026, the Reporting Person was granted 500 restricted stock units, all of the restricted stock units granted will be vesting on September 15, 2026,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Class A Ordinary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Initial Statement of Beneficial Ownership is being filed in connection with the enactment of the Holding Foreign Insiders Accountable Act and the rules and regulations adopted in association therewith.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M. Pear,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930" TargetMode="External"/><Relationship Id="rId3" Type="http://schemas.openxmlformats.org/officeDocument/2006/relationships/hyperlink" Target="http://www.sec.gov/cgi-bin/browse-edgar?action=getcompany&amp;CIK=00019448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479</Words>
  <Characters>2638</Characters>
  <CharactersWithSpaces>3064</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